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D82C8" w14:textId="77777777" w:rsidR="00DE49BC" w:rsidRDefault="00DE49BC" w:rsidP="00D54853">
      <w:pPr>
        <w:jc w:val="center"/>
        <w:rPr>
          <w:rFonts w:ascii="Times New Roman" w:hAnsi="Times New Roman" w:cs="Times New Roman"/>
          <w:b/>
          <w:sz w:val="24"/>
          <w:szCs w:val="24"/>
        </w:rPr>
      </w:pPr>
    </w:p>
    <w:p w14:paraId="097F1FE8" w14:textId="77777777" w:rsidR="00DE49BC" w:rsidRDefault="00DE49BC" w:rsidP="00D54853">
      <w:pPr>
        <w:jc w:val="center"/>
        <w:rPr>
          <w:rFonts w:ascii="Times New Roman" w:hAnsi="Times New Roman" w:cs="Times New Roman"/>
          <w:b/>
          <w:sz w:val="24"/>
          <w:szCs w:val="24"/>
        </w:rPr>
      </w:pPr>
    </w:p>
    <w:p w14:paraId="6CF7B450" w14:textId="77777777" w:rsidR="00DE49BC" w:rsidRDefault="00DE49BC" w:rsidP="00D54853">
      <w:pPr>
        <w:jc w:val="center"/>
        <w:rPr>
          <w:rFonts w:ascii="Times New Roman" w:hAnsi="Times New Roman" w:cs="Times New Roman"/>
          <w:b/>
          <w:sz w:val="24"/>
          <w:szCs w:val="24"/>
        </w:rPr>
      </w:pPr>
    </w:p>
    <w:p w14:paraId="402EBBFC" w14:textId="097A74A7" w:rsidR="00DE49BC" w:rsidRDefault="00DE49BC" w:rsidP="00D54853">
      <w:pPr>
        <w:jc w:val="center"/>
        <w:rPr>
          <w:rFonts w:ascii="Times New Roman" w:hAnsi="Times New Roman" w:cs="Times New Roman"/>
          <w:b/>
          <w:sz w:val="24"/>
          <w:szCs w:val="24"/>
        </w:rPr>
      </w:pPr>
      <w:r>
        <w:rPr>
          <w:rFonts w:ascii="Times New Roman" w:hAnsi="Times New Roman" w:cs="Times New Roman"/>
          <w:b/>
          <w:sz w:val="24"/>
          <w:szCs w:val="24"/>
        </w:rPr>
        <w:t>User’s Manual for the Lifetime and Residual Risk Calculator</w:t>
      </w:r>
    </w:p>
    <w:p w14:paraId="08C9212B" w14:textId="574F84DB" w:rsidR="00DE49BC" w:rsidRDefault="00DE49BC" w:rsidP="00E3538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calculator is based on the following publication:</w:t>
      </w:r>
    </w:p>
    <w:p w14:paraId="61B64669" w14:textId="77777777" w:rsidR="00D54853" w:rsidRDefault="00D54853" w:rsidP="00D54853">
      <w:pPr>
        <w:autoSpaceDE w:val="0"/>
        <w:autoSpaceDN w:val="0"/>
        <w:adjustRightInd w:val="0"/>
        <w:spacing w:after="0" w:line="240" w:lineRule="auto"/>
        <w:ind w:firstLine="450"/>
        <w:rPr>
          <w:rFonts w:ascii="Times New Roman" w:hAnsi="Times New Roman" w:cs="Times New Roman"/>
          <w:sz w:val="24"/>
          <w:szCs w:val="24"/>
        </w:rPr>
      </w:pPr>
    </w:p>
    <w:p w14:paraId="0336A9BD" w14:textId="3D903D4A" w:rsidR="00DE49BC" w:rsidRDefault="00DE49BC" w:rsidP="008F70A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Thornton, D., Hanson, R. K., Ke</w:t>
      </w:r>
      <w:r w:rsidR="00406B22">
        <w:rPr>
          <w:rFonts w:ascii="Times New Roman" w:hAnsi="Times New Roman" w:cs="Times New Roman"/>
          <w:sz w:val="24"/>
          <w:szCs w:val="24"/>
          <w:lang w:val="en-CA"/>
        </w:rPr>
        <w:t>lley, S. M. &amp; Mundt, J. C. (2021</w:t>
      </w:r>
      <w:r>
        <w:rPr>
          <w:rFonts w:ascii="Times New Roman" w:hAnsi="Times New Roman" w:cs="Times New Roman"/>
          <w:sz w:val="24"/>
          <w:szCs w:val="24"/>
          <w:lang w:val="en-CA"/>
        </w:rPr>
        <w:t xml:space="preserve">). Estimating lifetime and </w:t>
      </w:r>
    </w:p>
    <w:p w14:paraId="1D78C58E" w14:textId="41BF7481" w:rsidR="001A4BCC" w:rsidRPr="00DB6B53" w:rsidRDefault="00DE49BC" w:rsidP="008F70A9">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en-CA"/>
        </w:rPr>
      </w:pPr>
      <w:r>
        <w:rPr>
          <w:rFonts w:ascii="Times New Roman" w:hAnsi="Times New Roman" w:cs="Times New Roman"/>
          <w:sz w:val="24"/>
          <w:szCs w:val="24"/>
          <w:lang w:val="en-CA"/>
        </w:rPr>
        <w:t xml:space="preserve">residual risk for individuals who remain sexual </w:t>
      </w:r>
      <w:r w:rsidRPr="003A3E06">
        <w:rPr>
          <w:rFonts w:ascii="Times New Roman" w:hAnsi="Times New Roman" w:cs="Times New Roman"/>
          <w:sz w:val="24"/>
          <w:szCs w:val="24"/>
          <w:lang w:val="en-CA"/>
        </w:rPr>
        <w:t xml:space="preserve">offense free in the community: Practical applications. </w:t>
      </w:r>
      <w:r w:rsidR="00406B22">
        <w:rPr>
          <w:rFonts w:ascii="Times New Roman" w:hAnsi="Times New Roman" w:cs="Times New Roman"/>
          <w:i/>
          <w:sz w:val="24"/>
          <w:szCs w:val="24"/>
          <w:lang w:val="en-CA"/>
        </w:rPr>
        <w:t>Sexual Abuse, 33</w:t>
      </w:r>
      <w:r w:rsidR="00406B22">
        <w:rPr>
          <w:rFonts w:ascii="Times New Roman" w:hAnsi="Times New Roman" w:cs="Times New Roman"/>
          <w:sz w:val="24"/>
          <w:szCs w:val="24"/>
          <w:lang w:val="en-CA"/>
        </w:rPr>
        <w:t>(1), 3-33</w:t>
      </w:r>
      <w:r w:rsidR="003A3E06">
        <w:rPr>
          <w:rFonts w:ascii="Times New Roman" w:hAnsi="Times New Roman" w:cs="Times New Roman"/>
          <w:color w:val="000000" w:themeColor="text1"/>
          <w:sz w:val="24"/>
          <w:szCs w:val="24"/>
          <w:lang w:val="en-CA"/>
        </w:rPr>
        <w:t xml:space="preserve">. </w:t>
      </w:r>
      <w:r w:rsidR="00406B22">
        <w:rPr>
          <w:rFonts w:ascii="Times New Roman" w:hAnsi="Times New Roman" w:cs="Times New Roman"/>
          <w:color w:val="000000" w:themeColor="text1"/>
          <w:sz w:val="24"/>
          <w:szCs w:val="24"/>
          <w:lang w:val="en-CA"/>
        </w:rPr>
        <w:t>https://doi.org/</w:t>
      </w:r>
      <w:r w:rsidR="003A3E06">
        <w:rPr>
          <w:rFonts w:ascii="Times New Roman" w:hAnsi="Times New Roman" w:cs="Times New Roman"/>
          <w:color w:val="000000" w:themeColor="text1"/>
          <w:sz w:val="24"/>
          <w:szCs w:val="24"/>
          <w:lang w:val="en-CA"/>
        </w:rPr>
        <w:t>10.1177/1079063219871573</w:t>
      </w:r>
    </w:p>
    <w:p w14:paraId="39DC85BF" w14:textId="73924115" w:rsidR="00DE49BC" w:rsidRDefault="00DE49BC" w:rsidP="00DE49BC">
      <w:pPr>
        <w:pStyle w:val="Footer"/>
        <w:rPr>
          <w:rFonts w:ascii="Times New Roman" w:hAnsi="Times New Roman" w:cs="Times New Roman"/>
          <w:sz w:val="24"/>
          <w:szCs w:val="24"/>
        </w:rPr>
      </w:pPr>
      <w:r w:rsidRPr="00D54853">
        <w:rPr>
          <w:rFonts w:ascii="Times New Roman" w:hAnsi="Times New Roman" w:cs="Times New Roman"/>
          <w:sz w:val="24"/>
          <w:szCs w:val="24"/>
        </w:rPr>
        <w:t xml:space="preserve">This calculator is provided free of charge on an “as is” basis.  </w:t>
      </w:r>
      <w:r w:rsidRPr="00D54853">
        <w:rPr>
          <w:rFonts w:ascii="Times New Roman" w:eastAsia="Times New Roman" w:hAnsi="Times New Roman" w:cs="Times New Roman"/>
          <w:sz w:val="24"/>
          <w:szCs w:val="24"/>
        </w:rPr>
        <w:t xml:space="preserve">No warrantee or liability is expressed or implied regarding the use of this calculator.  </w:t>
      </w:r>
      <w:r w:rsidRPr="00D54853">
        <w:rPr>
          <w:rFonts w:ascii="Times New Roman" w:hAnsi="Times New Roman" w:cs="Times New Roman"/>
          <w:sz w:val="24"/>
          <w:szCs w:val="24"/>
        </w:rPr>
        <w:t xml:space="preserve">The calculator is free of any known defects to the best of the authors’ knowledge.  </w:t>
      </w:r>
      <w:r w:rsidRPr="00D54853">
        <w:rPr>
          <w:rFonts w:ascii="Times New Roman" w:eastAsia="Times New Roman" w:hAnsi="Times New Roman" w:cs="Times New Roman"/>
          <w:sz w:val="24"/>
          <w:szCs w:val="24"/>
        </w:rPr>
        <w:t xml:space="preserve">Users are responsible for understanding the statistical methods applied and verification of results, if required.  </w:t>
      </w:r>
      <w:r w:rsidRPr="00D54853">
        <w:rPr>
          <w:rFonts w:ascii="Times New Roman" w:hAnsi="Times New Roman" w:cs="Times New Roman"/>
          <w:sz w:val="24"/>
          <w:szCs w:val="24"/>
        </w:rPr>
        <w:t xml:space="preserve">  </w:t>
      </w:r>
    </w:p>
    <w:p w14:paraId="20A8A82B" w14:textId="4CD7A7EE" w:rsidR="004826C0" w:rsidRPr="00D54853" w:rsidRDefault="004826C0" w:rsidP="00D54853">
      <w:pPr>
        <w:pStyle w:val="Footer"/>
        <w:tabs>
          <w:tab w:val="clear" w:pos="4680"/>
          <w:tab w:val="center" w:pos="450"/>
        </w:tabs>
        <w:rPr>
          <w:rFonts w:ascii="Times New Roman" w:hAnsi="Times New Roman" w:cs="Times New Roman"/>
          <w:sz w:val="24"/>
          <w:szCs w:val="24"/>
        </w:rPr>
      </w:pPr>
    </w:p>
    <w:p w14:paraId="660AC123" w14:textId="77777777" w:rsidR="00943960" w:rsidRDefault="00D54853" w:rsidP="00E35386">
      <w:pPr>
        <w:rPr>
          <w:rFonts w:ascii="Times New Roman" w:hAnsi="Times New Roman" w:cs="Times New Roman"/>
          <w:sz w:val="24"/>
          <w:szCs w:val="24"/>
        </w:rPr>
      </w:pPr>
      <w:r w:rsidRPr="004826C0">
        <w:rPr>
          <w:rFonts w:ascii="Times New Roman" w:hAnsi="Times New Roman" w:cs="Times New Roman"/>
          <w:sz w:val="24"/>
          <w:szCs w:val="24"/>
        </w:rPr>
        <w:t>The views expressed are those of the authors and not necessarily those of the Wisconsin Department of Health Services.</w:t>
      </w:r>
    </w:p>
    <w:p w14:paraId="30BA1D29" w14:textId="77777777" w:rsidR="00943960" w:rsidRDefault="00943960" w:rsidP="00E35386">
      <w:pPr>
        <w:rPr>
          <w:rFonts w:ascii="Times New Roman" w:hAnsi="Times New Roman" w:cs="Times New Roman"/>
          <w:sz w:val="24"/>
          <w:szCs w:val="24"/>
        </w:rPr>
      </w:pPr>
    </w:p>
    <w:p w14:paraId="0E41B500" w14:textId="77777777" w:rsidR="00943960" w:rsidRDefault="00943960" w:rsidP="00E35386">
      <w:pPr>
        <w:rPr>
          <w:rFonts w:ascii="Times New Roman" w:hAnsi="Times New Roman" w:cs="Times New Roman"/>
          <w:sz w:val="24"/>
          <w:szCs w:val="24"/>
        </w:rPr>
      </w:pPr>
    </w:p>
    <w:p w14:paraId="10697F4A" w14:textId="77777777" w:rsidR="00943960" w:rsidRDefault="00943960" w:rsidP="00943960">
      <w:pPr>
        <w:jc w:val="center"/>
        <w:rPr>
          <w:rFonts w:ascii="Times New Roman" w:hAnsi="Times New Roman" w:cs="Times New Roman"/>
          <w:sz w:val="24"/>
          <w:szCs w:val="24"/>
        </w:rPr>
      </w:pPr>
    </w:p>
    <w:p w14:paraId="302E393B" w14:textId="4940D31B" w:rsidR="00DE49BC" w:rsidRDefault="00943960" w:rsidP="00943960">
      <w:pPr>
        <w:jc w:val="center"/>
        <w:rPr>
          <w:rFonts w:ascii="Times New Roman" w:hAnsi="Times New Roman" w:cs="Times New Roman"/>
          <w:b/>
          <w:sz w:val="24"/>
          <w:szCs w:val="24"/>
        </w:rPr>
      </w:pPr>
      <w:r>
        <w:rPr>
          <w:rFonts w:ascii="Times New Roman" w:hAnsi="Times New Roman" w:cs="Times New Roman"/>
          <w:sz w:val="24"/>
          <w:szCs w:val="24"/>
        </w:rPr>
        <w:t>Version: May 30, 2024</w:t>
      </w:r>
      <w:r w:rsidR="00DE49BC">
        <w:rPr>
          <w:rFonts w:ascii="Times New Roman" w:hAnsi="Times New Roman" w:cs="Times New Roman"/>
          <w:b/>
          <w:sz w:val="24"/>
          <w:szCs w:val="24"/>
        </w:rPr>
        <w:br w:type="page"/>
      </w:r>
    </w:p>
    <w:p w14:paraId="1F282877" w14:textId="65C0CABA" w:rsidR="009A4115" w:rsidRPr="009A4115" w:rsidRDefault="009A4115" w:rsidP="00FF0924">
      <w:pPr>
        <w:spacing w:after="0" w:line="240" w:lineRule="auto"/>
        <w:rPr>
          <w:rFonts w:ascii="Times New Roman" w:hAnsi="Times New Roman" w:cs="Times New Roman"/>
          <w:b/>
          <w:sz w:val="24"/>
          <w:szCs w:val="24"/>
        </w:rPr>
      </w:pPr>
      <w:r w:rsidRPr="009A4115">
        <w:rPr>
          <w:rFonts w:ascii="Times New Roman" w:hAnsi="Times New Roman" w:cs="Times New Roman"/>
          <w:b/>
          <w:sz w:val="24"/>
          <w:szCs w:val="24"/>
        </w:rPr>
        <w:lastRenderedPageBreak/>
        <w:t>Introduction</w:t>
      </w:r>
    </w:p>
    <w:p w14:paraId="62A51FC4" w14:textId="2B3DFE39" w:rsidR="009A4115" w:rsidRPr="009A4115" w:rsidRDefault="00B621C2" w:rsidP="00FF0924">
      <w:pPr>
        <w:spacing w:after="0" w:line="240" w:lineRule="auto"/>
        <w:rPr>
          <w:rFonts w:ascii="Times New Roman" w:hAnsi="Times New Roman" w:cs="Times New Roman"/>
          <w:bCs/>
          <w:sz w:val="24"/>
          <w:szCs w:val="24"/>
        </w:rPr>
      </w:pPr>
      <w:r w:rsidRPr="009A4115">
        <w:rPr>
          <w:rFonts w:ascii="Times New Roman" w:hAnsi="Times New Roman" w:cs="Times New Roman"/>
          <w:bCs/>
          <w:sz w:val="24"/>
          <w:szCs w:val="24"/>
        </w:rPr>
        <w:t>This document describes the use of a calculator</w:t>
      </w:r>
      <w:r w:rsidR="000711AB" w:rsidRPr="009A4115">
        <w:rPr>
          <w:rFonts w:ascii="Times New Roman" w:hAnsi="Times New Roman" w:cs="Times New Roman"/>
          <w:bCs/>
          <w:sz w:val="24"/>
          <w:szCs w:val="24"/>
        </w:rPr>
        <w:t>,</w:t>
      </w:r>
      <w:r w:rsidRPr="009A4115">
        <w:rPr>
          <w:rFonts w:ascii="Times New Roman" w:hAnsi="Times New Roman" w:cs="Times New Roman"/>
          <w:bCs/>
          <w:sz w:val="24"/>
          <w:szCs w:val="24"/>
        </w:rPr>
        <w:t xml:space="preserve"> implemented </w:t>
      </w:r>
      <w:r w:rsidR="000711AB" w:rsidRPr="009A4115">
        <w:rPr>
          <w:rFonts w:ascii="Times New Roman" w:hAnsi="Times New Roman" w:cs="Times New Roman"/>
          <w:bCs/>
          <w:sz w:val="24"/>
          <w:szCs w:val="24"/>
        </w:rPr>
        <w:t xml:space="preserve">as </w:t>
      </w:r>
      <w:r w:rsidRPr="009A4115">
        <w:rPr>
          <w:rFonts w:ascii="Times New Roman" w:hAnsi="Times New Roman" w:cs="Times New Roman"/>
          <w:bCs/>
          <w:sz w:val="24"/>
          <w:szCs w:val="24"/>
        </w:rPr>
        <w:t>a Microsoft Excel workbook</w:t>
      </w:r>
      <w:r w:rsidR="000711AB" w:rsidRPr="009A4115">
        <w:rPr>
          <w:rFonts w:ascii="Times New Roman" w:hAnsi="Times New Roman" w:cs="Times New Roman"/>
          <w:bCs/>
          <w:sz w:val="24"/>
          <w:szCs w:val="24"/>
        </w:rPr>
        <w:t>,</w:t>
      </w:r>
      <w:r w:rsidRPr="009A4115">
        <w:rPr>
          <w:rFonts w:ascii="Times New Roman" w:hAnsi="Times New Roman" w:cs="Times New Roman"/>
          <w:bCs/>
          <w:sz w:val="24"/>
          <w:szCs w:val="24"/>
        </w:rPr>
        <w:t xml:space="preserve"> to </w:t>
      </w:r>
      <w:r w:rsidR="00F81DC2" w:rsidRPr="009A4115">
        <w:rPr>
          <w:rFonts w:ascii="Times New Roman" w:hAnsi="Times New Roman" w:cs="Times New Roman"/>
          <w:bCs/>
          <w:sz w:val="24"/>
          <w:szCs w:val="24"/>
        </w:rPr>
        <w:t>project 20-year risk for sexual recidivism</w:t>
      </w:r>
      <w:r w:rsidR="009A4115" w:rsidRPr="009A4115">
        <w:rPr>
          <w:rFonts w:ascii="Times New Roman" w:hAnsi="Times New Roman" w:cs="Times New Roman"/>
          <w:bCs/>
          <w:sz w:val="24"/>
          <w:szCs w:val="24"/>
        </w:rPr>
        <w:t xml:space="preserve"> for individuals with a known history of sexual offending</w:t>
      </w:r>
      <w:r w:rsidR="00B32845" w:rsidRPr="009A4115">
        <w:rPr>
          <w:rFonts w:ascii="Times New Roman" w:hAnsi="Times New Roman" w:cs="Times New Roman"/>
          <w:bCs/>
          <w:sz w:val="24"/>
          <w:szCs w:val="24"/>
        </w:rPr>
        <w:t xml:space="preserve">.  The </w:t>
      </w:r>
      <w:r w:rsidR="009A4115" w:rsidRPr="009A4115">
        <w:rPr>
          <w:rFonts w:ascii="Times New Roman" w:hAnsi="Times New Roman" w:cs="Times New Roman"/>
          <w:bCs/>
          <w:sz w:val="24"/>
          <w:szCs w:val="24"/>
        </w:rPr>
        <w:t xml:space="preserve">projections are based on the </w:t>
      </w:r>
      <w:r w:rsidR="00B32845" w:rsidRPr="009A4115">
        <w:rPr>
          <w:rFonts w:ascii="Times New Roman" w:hAnsi="Times New Roman" w:cs="Times New Roman"/>
          <w:bCs/>
          <w:sz w:val="24"/>
          <w:szCs w:val="24"/>
        </w:rPr>
        <w:t xml:space="preserve">discrete time </w:t>
      </w:r>
      <w:r w:rsidR="00DF4BE6" w:rsidRPr="009A4115">
        <w:rPr>
          <w:rFonts w:ascii="Times New Roman" w:hAnsi="Times New Roman" w:cs="Times New Roman"/>
          <w:bCs/>
          <w:sz w:val="24"/>
          <w:szCs w:val="24"/>
        </w:rPr>
        <w:t>survival analys</w:t>
      </w:r>
      <w:r w:rsidR="00A300C2" w:rsidRPr="009A4115">
        <w:rPr>
          <w:rFonts w:ascii="Times New Roman" w:hAnsi="Times New Roman" w:cs="Times New Roman"/>
          <w:bCs/>
          <w:sz w:val="24"/>
          <w:szCs w:val="24"/>
        </w:rPr>
        <w:t>e</w:t>
      </w:r>
      <w:r w:rsidR="00B32845" w:rsidRPr="009A4115">
        <w:rPr>
          <w:rFonts w:ascii="Times New Roman" w:hAnsi="Times New Roman" w:cs="Times New Roman"/>
          <w:bCs/>
          <w:sz w:val="24"/>
          <w:szCs w:val="24"/>
        </w:rPr>
        <w:t>s</w:t>
      </w:r>
      <w:r w:rsidR="009A4115" w:rsidRPr="009A4115">
        <w:rPr>
          <w:rFonts w:ascii="Times New Roman" w:hAnsi="Times New Roman" w:cs="Times New Roman"/>
          <w:bCs/>
          <w:sz w:val="24"/>
          <w:szCs w:val="24"/>
        </w:rPr>
        <w:t xml:space="preserve"> as applied by </w:t>
      </w:r>
      <w:r w:rsidR="00B023B8" w:rsidRPr="009A4115">
        <w:rPr>
          <w:rFonts w:ascii="Times New Roman" w:hAnsi="Times New Roman" w:cs="Times New Roman"/>
          <w:bCs/>
          <w:sz w:val="24"/>
          <w:szCs w:val="24"/>
        </w:rPr>
        <w:t>Thornton, Hanson, Kell</w:t>
      </w:r>
      <w:r w:rsidR="00DC720D">
        <w:rPr>
          <w:rFonts w:ascii="Times New Roman" w:hAnsi="Times New Roman" w:cs="Times New Roman"/>
          <w:bCs/>
          <w:sz w:val="24"/>
          <w:szCs w:val="24"/>
        </w:rPr>
        <w:t>e</w:t>
      </w:r>
      <w:r w:rsidR="00B023B8" w:rsidRPr="009A4115">
        <w:rPr>
          <w:rFonts w:ascii="Times New Roman" w:hAnsi="Times New Roman" w:cs="Times New Roman"/>
          <w:bCs/>
          <w:sz w:val="24"/>
          <w:szCs w:val="24"/>
        </w:rPr>
        <w:t>y, and Mundt (20</w:t>
      </w:r>
      <w:r w:rsidR="00027FAE">
        <w:rPr>
          <w:rFonts w:ascii="Times New Roman" w:hAnsi="Times New Roman" w:cs="Times New Roman"/>
          <w:bCs/>
          <w:sz w:val="24"/>
          <w:szCs w:val="24"/>
        </w:rPr>
        <w:t>21</w:t>
      </w:r>
      <w:r w:rsidR="00B023B8" w:rsidRPr="009A4115">
        <w:rPr>
          <w:rFonts w:ascii="Times New Roman" w:hAnsi="Times New Roman" w:cs="Times New Roman"/>
          <w:bCs/>
          <w:sz w:val="24"/>
          <w:szCs w:val="24"/>
        </w:rPr>
        <w:t>).</w:t>
      </w:r>
      <w:r w:rsidR="00DF4BE6" w:rsidRPr="009A4115">
        <w:rPr>
          <w:rFonts w:ascii="Times New Roman" w:hAnsi="Times New Roman" w:cs="Times New Roman"/>
          <w:bCs/>
          <w:sz w:val="24"/>
          <w:szCs w:val="24"/>
        </w:rPr>
        <w:t xml:space="preserve">  </w:t>
      </w:r>
      <w:r w:rsidR="009A4115" w:rsidRPr="009A4115">
        <w:rPr>
          <w:rFonts w:ascii="Times New Roman" w:hAnsi="Times New Roman" w:cs="Times New Roman"/>
          <w:bCs/>
          <w:sz w:val="24"/>
          <w:szCs w:val="24"/>
        </w:rPr>
        <w:t>The underlying research on which this is based is described in Hanson, Harris, Letourneau, Helmus, and Thornton (2018).</w:t>
      </w:r>
    </w:p>
    <w:p w14:paraId="73C0876E" w14:textId="77777777" w:rsidR="00A300C2" w:rsidRPr="009A4115" w:rsidRDefault="00A300C2" w:rsidP="00FF0924">
      <w:pPr>
        <w:spacing w:after="0" w:line="240" w:lineRule="auto"/>
        <w:rPr>
          <w:rFonts w:ascii="Times New Roman" w:hAnsi="Times New Roman" w:cs="Times New Roman"/>
          <w:bCs/>
          <w:sz w:val="24"/>
          <w:szCs w:val="24"/>
        </w:rPr>
      </w:pPr>
    </w:p>
    <w:p w14:paraId="3C187003" w14:textId="77777777" w:rsidR="009A4115" w:rsidRPr="009A4115" w:rsidRDefault="00DF4BE6" w:rsidP="009A4115">
      <w:pPr>
        <w:spacing w:after="0" w:line="240" w:lineRule="auto"/>
        <w:rPr>
          <w:rFonts w:ascii="Times New Roman" w:hAnsi="Times New Roman" w:cs="Times New Roman"/>
          <w:bCs/>
          <w:sz w:val="24"/>
          <w:szCs w:val="24"/>
        </w:rPr>
      </w:pPr>
      <w:r w:rsidRPr="009A4115">
        <w:rPr>
          <w:rFonts w:ascii="Times New Roman" w:hAnsi="Times New Roman" w:cs="Times New Roman"/>
          <w:bCs/>
          <w:sz w:val="24"/>
          <w:szCs w:val="24"/>
        </w:rPr>
        <w:t xml:space="preserve">The model </w:t>
      </w:r>
      <w:r w:rsidR="009A4115" w:rsidRPr="009A4115">
        <w:rPr>
          <w:rFonts w:ascii="Times New Roman" w:hAnsi="Times New Roman" w:cs="Times New Roman"/>
          <w:bCs/>
          <w:sz w:val="24"/>
          <w:szCs w:val="24"/>
        </w:rPr>
        <w:t xml:space="preserve">takes account of three factors determining risk for future sexual offending: </w:t>
      </w:r>
    </w:p>
    <w:p w14:paraId="108DF00B" w14:textId="77777777" w:rsidR="009A4115" w:rsidRPr="009A4115" w:rsidRDefault="009A4115" w:rsidP="009A4115">
      <w:pPr>
        <w:pStyle w:val="ListParagraph"/>
        <w:numPr>
          <w:ilvl w:val="0"/>
          <w:numId w:val="8"/>
        </w:numPr>
        <w:spacing w:after="0" w:line="240" w:lineRule="auto"/>
        <w:rPr>
          <w:rFonts w:ascii="Times New Roman" w:hAnsi="Times New Roman" w:cs="Times New Roman"/>
          <w:bCs/>
          <w:sz w:val="24"/>
          <w:szCs w:val="24"/>
        </w:rPr>
      </w:pPr>
      <w:r w:rsidRPr="009A4115">
        <w:rPr>
          <w:rFonts w:ascii="Times New Roman" w:hAnsi="Times New Roman" w:cs="Times New Roman"/>
          <w:bCs/>
          <w:sz w:val="24"/>
          <w:szCs w:val="24"/>
        </w:rPr>
        <w:t xml:space="preserve">Known short-term risk based on risk factors present at the time of release from the index sexual offense; </w:t>
      </w:r>
    </w:p>
    <w:p w14:paraId="303E9E61" w14:textId="77777777" w:rsidR="009A4115" w:rsidRPr="009A4115" w:rsidRDefault="009A4115" w:rsidP="009A4115">
      <w:pPr>
        <w:pStyle w:val="ListParagraph"/>
        <w:numPr>
          <w:ilvl w:val="0"/>
          <w:numId w:val="8"/>
        </w:numPr>
        <w:spacing w:after="0" w:line="240" w:lineRule="auto"/>
        <w:rPr>
          <w:rFonts w:ascii="Times New Roman" w:hAnsi="Times New Roman" w:cs="Times New Roman"/>
          <w:bCs/>
          <w:sz w:val="24"/>
          <w:szCs w:val="24"/>
        </w:rPr>
      </w:pPr>
      <w:r w:rsidRPr="009A4115">
        <w:rPr>
          <w:rFonts w:ascii="Times New Roman" w:hAnsi="Times New Roman" w:cs="Times New Roman"/>
          <w:bCs/>
          <w:sz w:val="24"/>
          <w:szCs w:val="24"/>
        </w:rPr>
        <w:t xml:space="preserve">Gradual reduction in risk over time for </w:t>
      </w:r>
      <w:r w:rsidR="00F81DC2" w:rsidRPr="009A4115">
        <w:rPr>
          <w:rFonts w:ascii="Times New Roman" w:hAnsi="Times New Roman" w:cs="Times New Roman"/>
          <w:bCs/>
          <w:sz w:val="24"/>
          <w:szCs w:val="24"/>
        </w:rPr>
        <w:t>i</w:t>
      </w:r>
      <w:r w:rsidR="00B7396F" w:rsidRPr="009A4115">
        <w:rPr>
          <w:rFonts w:ascii="Times New Roman" w:hAnsi="Times New Roman" w:cs="Times New Roman"/>
          <w:bCs/>
          <w:sz w:val="24"/>
          <w:szCs w:val="24"/>
        </w:rPr>
        <w:t xml:space="preserve">ndividuals </w:t>
      </w:r>
      <w:r w:rsidR="000711AB" w:rsidRPr="009A4115">
        <w:rPr>
          <w:rFonts w:ascii="Times New Roman" w:hAnsi="Times New Roman" w:cs="Times New Roman"/>
          <w:bCs/>
          <w:sz w:val="24"/>
          <w:szCs w:val="24"/>
        </w:rPr>
        <w:t xml:space="preserve">who remain </w:t>
      </w:r>
      <w:r w:rsidR="00B7396F" w:rsidRPr="009A4115">
        <w:rPr>
          <w:rFonts w:ascii="Times New Roman" w:hAnsi="Times New Roman" w:cs="Times New Roman"/>
          <w:bCs/>
          <w:sz w:val="24"/>
          <w:szCs w:val="24"/>
        </w:rPr>
        <w:t xml:space="preserve">sexual </w:t>
      </w:r>
      <w:r w:rsidR="000711AB" w:rsidRPr="009A4115">
        <w:rPr>
          <w:rFonts w:ascii="Times New Roman" w:hAnsi="Times New Roman" w:cs="Times New Roman"/>
          <w:bCs/>
          <w:sz w:val="24"/>
          <w:szCs w:val="24"/>
        </w:rPr>
        <w:t>offense</w:t>
      </w:r>
      <w:r w:rsidR="00B7396F" w:rsidRPr="009A4115">
        <w:rPr>
          <w:rFonts w:ascii="Times New Roman" w:hAnsi="Times New Roman" w:cs="Times New Roman"/>
          <w:bCs/>
          <w:sz w:val="24"/>
          <w:szCs w:val="24"/>
        </w:rPr>
        <w:t xml:space="preserve"> </w:t>
      </w:r>
      <w:r w:rsidR="000711AB" w:rsidRPr="009A4115">
        <w:rPr>
          <w:rFonts w:ascii="Times New Roman" w:hAnsi="Times New Roman" w:cs="Times New Roman"/>
          <w:bCs/>
          <w:sz w:val="24"/>
          <w:szCs w:val="24"/>
        </w:rPr>
        <w:t xml:space="preserve">free while living </w:t>
      </w:r>
      <w:r w:rsidRPr="009A4115">
        <w:rPr>
          <w:rFonts w:ascii="Times New Roman" w:hAnsi="Times New Roman" w:cs="Times New Roman"/>
          <w:bCs/>
          <w:sz w:val="24"/>
          <w:szCs w:val="24"/>
        </w:rPr>
        <w:t xml:space="preserve">in </w:t>
      </w:r>
      <w:r w:rsidR="000711AB" w:rsidRPr="009A4115">
        <w:rPr>
          <w:rFonts w:ascii="Times New Roman" w:hAnsi="Times New Roman" w:cs="Times New Roman"/>
          <w:bCs/>
          <w:sz w:val="24"/>
          <w:szCs w:val="24"/>
        </w:rPr>
        <w:t>the community</w:t>
      </w:r>
      <w:r w:rsidRPr="009A4115">
        <w:rPr>
          <w:rFonts w:ascii="Times New Roman" w:hAnsi="Times New Roman" w:cs="Times New Roman"/>
          <w:bCs/>
          <w:sz w:val="24"/>
          <w:szCs w:val="24"/>
        </w:rPr>
        <w:t xml:space="preserve">; </w:t>
      </w:r>
    </w:p>
    <w:p w14:paraId="6D4EB48B" w14:textId="77777777" w:rsidR="003133A0" w:rsidRPr="009A4115" w:rsidRDefault="009A4115" w:rsidP="009A4115">
      <w:pPr>
        <w:pStyle w:val="ListParagraph"/>
        <w:numPr>
          <w:ilvl w:val="0"/>
          <w:numId w:val="8"/>
        </w:numPr>
        <w:spacing w:after="0" w:line="240" w:lineRule="auto"/>
        <w:rPr>
          <w:rFonts w:ascii="Times New Roman" w:hAnsi="Times New Roman" w:cs="Times New Roman"/>
          <w:bCs/>
          <w:sz w:val="24"/>
          <w:szCs w:val="24"/>
        </w:rPr>
      </w:pPr>
      <w:r w:rsidRPr="009A4115">
        <w:rPr>
          <w:rFonts w:ascii="Times New Roman" w:hAnsi="Times New Roman" w:cs="Times New Roman"/>
          <w:bCs/>
          <w:sz w:val="24"/>
          <w:szCs w:val="24"/>
        </w:rPr>
        <w:t xml:space="preserve">Increase in risk for individuals who </w:t>
      </w:r>
      <w:r w:rsidR="00DA728C" w:rsidRPr="009A4115">
        <w:rPr>
          <w:rFonts w:ascii="Times New Roman" w:hAnsi="Times New Roman" w:cs="Times New Roman"/>
          <w:bCs/>
          <w:sz w:val="24"/>
          <w:szCs w:val="24"/>
        </w:rPr>
        <w:t>reoffend non-sexually after release</w:t>
      </w:r>
      <w:r w:rsidR="00A300C2" w:rsidRPr="009A4115">
        <w:rPr>
          <w:rFonts w:ascii="Times New Roman" w:hAnsi="Times New Roman" w:cs="Times New Roman"/>
          <w:bCs/>
          <w:sz w:val="24"/>
          <w:szCs w:val="24"/>
        </w:rPr>
        <w:t xml:space="preserve"> </w:t>
      </w:r>
      <w:r w:rsidRPr="009A4115">
        <w:rPr>
          <w:rFonts w:ascii="Times New Roman" w:hAnsi="Times New Roman" w:cs="Times New Roman"/>
          <w:bCs/>
          <w:sz w:val="24"/>
          <w:szCs w:val="24"/>
        </w:rPr>
        <w:t>from the sentence served for their index sex offense</w:t>
      </w:r>
      <w:r w:rsidR="00BC3DD4" w:rsidRPr="009A4115">
        <w:rPr>
          <w:rFonts w:ascii="Times New Roman" w:hAnsi="Times New Roman" w:cs="Times New Roman"/>
          <w:bCs/>
          <w:sz w:val="24"/>
          <w:szCs w:val="24"/>
        </w:rPr>
        <w:t xml:space="preserve">.  </w:t>
      </w:r>
    </w:p>
    <w:p w14:paraId="7F71395F" w14:textId="77777777" w:rsidR="00985693" w:rsidRPr="009A4115" w:rsidRDefault="00985693" w:rsidP="00FF0924">
      <w:pPr>
        <w:spacing w:after="0" w:line="240" w:lineRule="auto"/>
        <w:rPr>
          <w:rFonts w:ascii="Times New Roman" w:hAnsi="Times New Roman" w:cs="Times New Roman"/>
          <w:bCs/>
          <w:sz w:val="24"/>
          <w:szCs w:val="24"/>
        </w:rPr>
      </w:pPr>
    </w:p>
    <w:p w14:paraId="35B2DB89" w14:textId="6FD936C3" w:rsidR="009A4115" w:rsidRDefault="009A4115"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In principle</w:t>
      </w:r>
      <w:r w:rsidR="001370A4">
        <w:rPr>
          <w:rFonts w:ascii="Times New Roman" w:hAnsi="Times New Roman" w:cs="Times New Roman"/>
          <w:sz w:val="24"/>
          <w:szCs w:val="24"/>
        </w:rPr>
        <w:t>,</w:t>
      </w:r>
      <w:r>
        <w:rPr>
          <w:rFonts w:ascii="Times New Roman" w:hAnsi="Times New Roman" w:cs="Times New Roman"/>
          <w:sz w:val="24"/>
          <w:szCs w:val="24"/>
        </w:rPr>
        <w:t xml:space="preserve"> a statistically sophisticated evaluator could use the equations provided by Hanson et al. (2018) to produce their own 20-year risk projections</w:t>
      </w:r>
      <w:r w:rsidR="001370A4">
        <w:rPr>
          <w:rFonts w:ascii="Times New Roman" w:hAnsi="Times New Roman" w:cs="Times New Roman"/>
          <w:sz w:val="24"/>
          <w:szCs w:val="24"/>
        </w:rPr>
        <w:t>,</w:t>
      </w:r>
      <w:r>
        <w:rPr>
          <w:rFonts w:ascii="Times New Roman" w:hAnsi="Times New Roman" w:cs="Times New Roman"/>
          <w:sz w:val="24"/>
          <w:szCs w:val="24"/>
        </w:rPr>
        <w:t xml:space="preserve"> but the process is both cumbersome and beyond the competence of many evaluators. </w:t>
      </w:r>
      <w:r w:rsidR="00456632">
        <w:rPr>
          <w:rFonts w:ascii="Times New Roman" w:hAnsi="Times New Roman" w:cs="Times New Roman"/>
          <w:sz w:val="24"/>
          <w:szCs w:val="24"/>
        </w:rPr>
        <w:t xml:space="preserve">In light of this consideration, an Excel-based calculator was developed </w:t>
      </w:r>
      <w:r w:rsidR="00F50497">
        <w:rPr>
          <w:rFonts w:ascii="Times New Roman" w:hAnsi="Times New Roman" w:cs="Times New Roman"/>
          <w:sz w:val="24"/>
          <w:szCs w:val="24"/>
        </w:rPr>
        <w:t xml:space="preserve">to </w:t>
      </w:r>
      <w:r w:rsidR="00844562">
        <w:rPr>
          <w:rFonts w:ascii="Times New Roman" w:hAnsi="Times New Roman" w:cs="Times New Roman"/>
          <w:sz w:val="24"/>
          <w:szCs w:val="24"/>
        </w:rPr>
        <w:t>permit</w:t>
      </w:r>
      <w:r w:rsidR="00456632">
        <w:rPr>
          <w:rFonts w:ascii="Times New Roman" w:hAnsi="Times New Roman" w:cs="Times New Roman"/>
          <w:sz w:val="24"/>
          <w:szCs w:val="24"/>
        </w:rPr>
        <w:t xml:space="preserve"> evaluators to input relevant information p</w:t>
      </w:r>
      <w:r w:rsidR="00135DAB">
        <w:rPr>
          <w:rFonts w:ascii="Times New Roman" w:hAnsi="Times New Roman" w:cs="Times New Roman"/>
          <w:sz w:val="24"/>
          <w:szCs w:val="24"/>
        </w:rPr>
        <w:t>ertinent to a specific case</w:t>
      </w:r>
      <w:r w:rsidR="00F50497">
        <w:rPr>
          <w:rFonts w:ascii="Times New Roman" w:hAnsi="Times New Roman" w:cs="Times New Roman"/>
          <w:sz w:val="24"/>
          <w:szCs w:val="24"/>
        </w:rPr>
        <w:t xml:space="preserve">.  The calculator </w:t>
      </w:r>
      <w:r w:rsidR="00456632">
        <w:rPr>
          <w:rFonts w:ascii="Times New Roman" w:hAnsi="Times New Roman" w:cs="Times New Roman"/>
          <w:sz w:val="24"/>
          <w:szCs w:val="24"/>
        </w:rPr>
        <w:t xml:space="preserve">automatically </w:t>
      </w:r>
      <w:r w:rsidR="00F50497">
        <w:rPr>
          <w:rFonts w:ascii="Times New Roman" w:hAnsi="Times New Roman" w:cs="Times New Roman"/>
          <w:sz w:val="24"/>
          <w:szCs w:val="24"/>
        </w:rPr>
        <w:t xml:space="preserve">performs the </w:t>
      </w:r>
      <w:r w:rsidR="00456632">
        <w:rPr>
          <w:rFonts w:ascii="Times New Roman" w:hAnsi="Times New Roman" w:cs="Times New Roman"/>
          <w:sz w:val="24"/>
          <w:szCs w:val="24"/>
        </w:rPr>
        <w:t>appropriate calculations</w:t>
      </w:r>
      <w:r w:rsidR="00F50497">
        <w:rPr>
          <w:rFonts w:ascii="Times New Roman" w:hAnsi="Times New Roman" w:cs="Times New Roman"/>
          <w:sz w:val="24"/>
          <w:szCs w:val="24"/>
        </w:rPr>
        <w:t xml:space="preserve"> based on </w:t>
      </w:r>
      <w:r w:rsidR="00844562">
        <w:rPr>
          <w:rFonts w:ascii="Times New Roman" w:hAnsi="Times New Roman" w:cs="Times New Roman"/>
          <w:sz w:val="24"/>
          <w:szCs w:val="24"/>
        </w:rPr>
        <w:t xml:space="preserve">the </w:t>
      </w:r>
      <w:r w:rsidR="00F50497">
        <w:rPr>
          <w:rFonts w:ascii="Times New Roman" w:hAnsi="Times New Roman" w:cs="Times New Roman"/>
          <w:sz w:val="24"/>
          <w:szCs w:val="24"/>
        </w:rPr>
        <w:t xml:space="preserve">previously </w:t>
      </w:r>
      <w:r w:rsidR="00844562">
        <w:rPr>
          <w:rFonts w:ascii="Times New Roman" w:hAnsi="Times New Roman" w:cs="Times New Roman"/>
          <w:sz w:val="24"/>
          <w:szCs w:val="24"/>
        </w:rPr>
        <w:t xml:space="preserve">published </w:t>
      </w:r>
      <w:r w:rsidR="00F50497">
        <w:rPr>
          <w:rFonts w:ascii="Times New Roman" w:hAnsi="Times New Roman" w:cs="Times New Roman"/>
          <w:sz w:val="24"/>
          <w:szCs w:val="24"/>
        </w:rPr>
        <w:t>analyses</w:t>
      </w:r>
      <w:r w:rsidR="00456632">
        <w:rPr>
          <w:rFonts w:ascii="Times New Roman" w:hAnsi="Times New Roman" w:cs="Times New Roman"/>
          <w:sz w:val="24"/>
          <w:szCs w:val="24"/>
        </w:rPr>
        <w:t xml:space="preserve">.  </w:t>
      </w:r>
    </w:p>
    <w:p w14:paraId="299CF182" w14:textId="77777777" w:rsidR="009A4115" w:rsidRDefault="009A4115" w:rsidP="00FF0924">
      <w:pPr>
        <w:spacing w:after="0" w:line="240" w:lineRule="auto"/>
        <w:rPr>
          <w:rFonts w:ascii="Times New Roman" w:hAnsi="Times New Roman" w:cs="Times New Roman"/>
          <w:sz w:val="24"/>
          <w:szCs w:val="24"/>
        </w:rPr>
      </w:pPr>
    </w:p>
    <w:p w14:paraId="04E9E0CC" w14:textId="76C92655" w:rsidR="009A4115" w:rsidRDefault="009A4115"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A person using the calculator chooses the short-term risk estimate</w:t>
      </w:r>
      <w:r w:rsidR="0058282F">
        <w:rPr>
          <w:rFonts w:ascii="Times New Roman" w:hAnsi="Times New Roman" w:cs="Times New Roman"/>
          <w:sz w:val="24"/>
          <w:szCs w:val="24"/>
        </w:rPr>
        <w:t xml:space="preserve"> (e.g., 5-year estimate)</w:t>
      </w:r>
      <w:r>
        <w:rPr>
          <w:rFonts w:ascii="Times New Roman" w:hAnsi="Times New Roman" w:cs="Times New Roman"/>
          <w:sz w:val="24"/>
          <w:szCs w:val="24"/>
        </w:rPr>
        <w:t xml:space="preserve"> to extrapolate from. This may be derived from any credible actuarial instrument. The calculator then determines what 20-year sexual recidivism rate is to be expected given that short-term rate. </w:t>
      </w:r>
    </w:p>
    <w:p w14:paraId="1B619A0C" w14:textId="77777777" w:rsidR="009A4115" w:rsidRDefault="009A4115" w:rsidP="00FF0924">
      <w:pPr>
        <w:spacing w:after="0" w:line="240" w:lineRule="auto"/>
        <w:rPr>
          <w:rFonts w:ascii="Times New Roman" w:hAnsi="Times New Roman" w:cs="Times New Roman"/>
          <w:sz w:val="24"/>
          <w:szCs w:val="24"/>
        </w:rPr>
      </w:pPr>
    </w:p>
    <w:p w14:paraId="0A5F9115" w14:textId="77777777" w:rsidR="009A4115" w:rsidRDefault="009A4115"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Three main uses have been identified for the calculator. </w:t>
      </w:r>
    </w:p>
    <w:p w14:paraId="0F4D9A7D" w14:textId="77777777" w:rsidR="009A4115" w:rsidRDefault="009A4115" w:rsidP="00FF0924">
      <w:pPr>
        <w:spacing w:after="0" w:line="240" w:lineRule="auto"/>
        <w:rPr>
          <w:rFonts w:ascii="Times New Roman" w:hAnsi="Times New Roman" w:cs="Times New Roman"/>
          <w:sz w:val="24"/>
          <w:szCs w:val="24"/>
        </w:rPr>
      </w:pPr>
    </w:p>
    <w:p w14:paraId="2F2C684E" w14:textId="75655638" w:rsidR="00526946" w:rsidRDefault="009A4115" w:rsidP="009A4115">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For individuals about to be released to the community following their index sexual offense</w:t>
      </w:r>
      <w:r w:rsidR="003A3E06">
        <w:rPr>
          <w:rFonts w:ascii="Times New Roman" w:hAnsi="Times New Roman" w:cs="Times New Roman"/>
          <w:sz w:val="24"/>
          <w:szCs w:val="24"/>
        </w:rPr>
        <w:t>,</w:t>
      </w:r>
      <w:r>
        <w:rPr>
          <w:rFonts w:ascii="Times New Roman" w:hAnsi="Times New Roman" w:cs="Times New Roman"/>
          <w:sz w:val="24"/>
          <w:szCs w:val="24"/>
        </w:rPr>
        <w:t xml:space="preserve"> it can project expected 20-year sexual recidivism rates based on a known short-term sexual recidivism rate (e.g.</w:t>
      </w:r>
      <w:r w:rsidR="003A3E06">
        <w:rPr>
          <w:rFonts w:ascii="Times New Roman" w:hAnsi="Times New Roman" w:cs="Times New Roman"/>
          <w:sz w:val="24"/>
          <w:szCs w:val="24"/>
        </w:rPr>
        <w:t>,</w:t>
      </w:r>
      <w:r>
        <w:rPr>
          <w:rFonts w:ascii="Times New Roman" w:hAnsi="Times New Roman" w:cs="Times New Roman"/>
          <w:sz w:val="24"/>
          <w:szCs w:val="24"/>
        </w:rPr>
        <w:t xml:space="preserve"> extrapolating from a known 5-year rate to a 20-year rate).</w:t>
      </w:r>
    </w:p>
    <w:p w14:paraId="55AA4955" w14:textId="77777777" w:rsidR="009A4115" w:rsidRDefault="009A4115" w:rsidP="009A4115">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For individuals who were released following their index sex offense and who have now been in the community for a number of years without further offending, it can project expected 20-year sexual recidivism rates based on the short-term sexual recidivism risk that applied at the point of release from the index sex offense and the number of years they have been free in the community without reoffending.</w:t>
      </w:r>
    </w:p>
    <w:p w14:paraId="00CC2949" w14:textId="77777777" w:rsidR="009A4115" w:rsidRPr="009A4115" w:rsidRDefault="009A4115" w:rsidP="009A4115">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For individuals who were released following their index sex offense and who have now been in the community for a number of years without further sexual offending but have come to attention because of a new non-sexual offense, it can project expected 20-year sexual recidivism rates based on the short-term sexual recidivism risk that applied at the point of release from the index sex offense, the number of years they have been free in the community without sexual reoffending, and the commission of a new non-sexual offense.</w:t>
      </w:r>
    </w:p>
    <w:p w14:paraId="33587C1C" w14:textId="77777777" w:rsidR="00205D91" w:rsidRDefault="00205D91" w:rsidP="00FF092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49E068D" w14:textId="77777777" w:rsidR="00526946" w:rsidRDefault="00526946" w:rsidP="00FF092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Calculator Instructions</w:t>
      </w:r>
    </w:p>
    <w:p w14:paraId="1D3658C1" w14:textId="3902700A" w:rsidR="00631C0D" w:rsidRDefault="005639C1" w:rsidP="00631C0D">
      <w:pPr>
        <w:pStyle w:val="ListParagraph"/>
        <w:numPr>
          <w:ilvl w:val="0"/>
          <w:numId w:val="2"/>
        </w:numPr>
        <w:spacing w:after="0" w:line="240" w:lineRule="auto"/>
        <w:rPr>
          <w:rFonts w:ascii="Times New Roman" w:hAnsi="Times New Roman" w:cs="Times New Roman"/>
          <w:sz w:val="24"/>
          <w:szCs w:val="24"/>
        </w:rPr>
      </w:pPr>
      <w:r w:rsidRPr="005639C1">
        <w:rPr>
          <w:rFonts w:ascii="Times New Roman" w:hAnsi="Times New Roman" w:cs="Times New Roman"/>
          <w:sz w:val="24"/>
          <w:szCs w:val="24"/>
        </w:rPr>
        <w:t xml:space="preserve">The calculator can be downloaded at </w:t>
      </w:r>
      <w:hyperlink r:id="rId8" w:history="1">
        <w:r w:rsidR="008F4147">
          <w:rPr>
            <w:rStyle w:val="Hyperlink"/>
            <w:rFonts w:ascii="Times New Roman" w:hAnsi="Times New Roman" w:cs="Times New Roman"/>
            <w:sz w:val="24"/>
            <w:szCs w:val="24"/>
          </w:rPr>
          <w:t>http://saarna.org/</w:t>
        </w:r>
      </w:hyperlink>
    </w:p>
    <w:p w14:paraId="2D9113D0" w14:textId="77777777" w:rsidR="00631C0D" w:rsidRDefault="00631C0D" w:rsidP="00631C0D">
      <w:pPr>
        <w:pStyle w:val="ListParagraph"/>
        <w:spacing w:after="0" w:line="240" w:lineRule="auto"/>
        <w:rPr>
          <w:rFonts w:ascii="Times New Roman" w:hAnsi="Times New Roman" w:cs="Times New Roman"/>
          <w:sz w:val="24"/>
          <w:szCs w:val="24"/>
        </w:rPr>
      </w:pPr>
    </w:p>
    <w:p w14:paraId="2A8F79E4" w14:textId="332E7F58" w:rsidR="005639C1" w:rsidRDefault="00631C0D" w:rsidP="00631C0D">
      <w:pPr>
        <w:pStyle w:val="ListParagraph"/>
        <w:numPr>
          <w:ilvl w:val="0"/>
          <w:numId w:val="2"/>
        </w:numPr>
        <w:spacing w:after="0" w:line="240" w:lineRule="auto"/>
        <w:rPr>
          <w:rFonts w:ascii="Times New Roman" w:hAnsi="Times New Roman" w:cs="Times New Roman"/>
          <w:sz w:val="24"/>
          <w:szCs w:val="24"/>
        </w:rPr>
      </w:pPr>
      <w:r w:rsidRPr="00631C0D">
        <w:rPr>
          <w:rFonts w:ascii="Times New Roman" w:hAnsi="Times New Roman" w:cs="Times New Roman"/>
          <w:sz w:val="24"/>
          <w:szCs w:val="24"/>
        </w:rPr>
        <w:t>The calculator will download as an Excel Macro-Enabled Workbook (.</w:t>
      </w:r>
      <w:proofErr w:type="spellStart"/>
      <w:r w:rsidRPr="00631C0D">
        <w:rPr>
          <w:rFonts w:ascii="Times New Roman" w:hAnsi="Times New Roman" w:cs="Times New Roman"/>
          <w:sz w:val="24"/>
          <w:szCs w:val="24"/>
        </w:rPr>
        <w:t>xlsm</w:t>
      </w:r>
      <w:proofErr w:type="spellEnd"/>
      <w:r w:rsidRPr="00631C0D">
        <w:rPr>
          <w:rFonts w:ascii="Times New Roman" w:hAnsi="Times New Roman" w:cs="Times New Roman"/>
          <w:sz w:val="24"/>
          <w:szCs w:val="24"/>
        </w:rPr>
        <w:t>).</w:t>
      </w:r>
      <w:r>
        <w:rPr>
          <w:rFonts w:ascii="Times New Roman" w:hAnsi="Times New Roman" w:cs="Times New Roman"/>
          <w:sz w:val="24"/>
          <w:szCs w:val="24"/>
        </w:rPr>
        <w:t xml:space="preserve"> It will work on any computer that has Microsoft Excel installed. This includes Apple computers. It will not work with mobile devices.</w:t>
      </w:r>
      <w:r w:rsidR="00340B7A">
        <w:rPr>
          <w:rFonts w:ascii="Times New Roman" w:hAnsi="Times New Roman" w:cs="Times New Roman"/>
          <w:sz w:val="24"/>
          <w:szCs w:val="24"/>
        </w:rPr>
        <w:t xml:space="preserve"> Below are separate instructions for </w:t>
      </w:r>
      <w:r w:rsidR="00B621BD">
        <w:rPr>
          <w:rFonts w:ascii="Times New Roman" w:hAnsi="Times New Roman" w:cs="Times New Roman"/>
          <w:sz w:val="24"/>
          <w:szCs w:val="24"/>
        </w:rPr>
        <w:t>Microsoft Windows</w:t>
      </w:r>
      <w:r w:rsidR="00340B7A">
        <w:rPr>
          <w:rFonts w:ascii="Times New Roman" w:hAnsi="Times New Roman" w:cs="Times New Roman"/>
          <w:sz w:val="24"/>
          <w:szCs w:val="24"/>
        </w:rPr>
        <w:t xml:space="preserve"> computers and Apple computers.</w:t>
      </w:r>
    </w:p>
    <w:p w14:paraId="618632EC" w14:textId="77777777" w:rsidR="00EE175B" w:rsidRPr="00EE175B" w:rsidRDefault="00EE175B" w:rsidP="00EE175B">
      <w:pPr>
        <w:pStyle w:val="ListParagraph"/>
        <w:rPr>
          <w:rFonts w:ascii="Times New Roman" w:hAnsi="Times New Roman" w:cs="Times New Roman"/>
          <w:sz w:val="24"/>
          <w:szCs w:val="24"/>
        </w:rPr>
      </w:pPr>
    </w:p>
    <w:p w14:paraId="1BB79F4E" w14:textId="0590A5A5" w:rsidR="00EE175B" w:rsidRDefault="00EE175B" w:rsidP="00631C0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Upon opening, the Excel file should prompt you to either enable to disable macros. The calculator operates based on macros, which is a series of commands to complete the calculations. Always enable the macros. If the file did not prompt you to enable </w:t>
      </w:r>
      <w:r w:rsidR="0043329B">
        <w:rPr>
          <w:rFonts w:ascii="Times New Roman" w:hAnsi="Times New Roman" w:cs="Times New Roman"/>
          <w:sz w:val="24"/>
          <w:szCs w:val="24"/>
        </w:rPr>
        <w:t>macros, look for the yellow security warning ribbon as seen below, and click “enable content.”</w:t>
      </w:r>
    </w:p>
    <w:p w14:paraId="45840A84" w14:textId="77777777" w:rsidR="00EE175B" w:rsidRPr="00EE175B" w:rsidRDefault="00EE175B" w:rsidP="00EE175B">
      <w:pPr>
        <w:pStyle w:val="ListParagraph"/>
        <w:rPr>
          <w:rFonts w:ascii="Times New Roman" w:hAnsi="Times New Roman" w:cs="Times New Roman"/>
          <w:sz w:val="24"/>
          <w:szCs w:val="24"/>
        </w:rPr>
      </w:pPr>
    </w:p>
    <w:p w14:paraId="07B289A1" w14:textId="522F4339" w:rsidR="00EE175B" w:rsidRDefault="00EE175B" w:rsidP="00EE175B">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A32CC54" wp14:editId="55F1505E">
            <wp:extent cx="4715776" cy="176841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1-10-26 113828.png"/>
                    <pic:cNvPicPr/>
                  </pic:nvPicPr>
                  <pic:blipFill>
                    <a:blip r:embed="rId9">
                      <a:extLst>
                        <a:ext uri="{28A0092B-C50C-407E-A947-70E740481C1C}">
                          <a14:useLocalDpi xmlns:a14="http://schemas.microsoft.com/office/drawing/2010/main" val="0"/>
                        </a:ext>
                      </a:extLst>
                    </a:blip>
                    <a:stretch>
                      <a:fillRect/>
                    </a:stretch>
                  </pic:blipFill>
                  <pic:spPr>
                    <a:xfrm>
                      <a:off x="0" y="0"/>
                      <a:ext cx="4728140" cy="1773053"/>
                    </a:xfrm>
                    <a:prstGeom prst="rect">
                      <a:avLst/>
                    </a:prstGeom>
                  </pic:spPr>
                </pic:pic>
              </a:graphicData>
            </a:graphic>
          </wp:inline>
        </w:drawing>
      </w:r>
    </w:p>
    <w:p w14:paraId="0DC4C809" w14:textId="77777777" w:rsidR="00EE175B" w:rsidRPr="00EE175B" w:rsidRDefault="00EE175B" w:rsidP="00EE175B">
      <w:pPr>
        <w:spacing w:after="0" w:line="240" w:lineRule="auto"/>
        <w:rPr>
          <w:rFonts w:ascii="Times New Roman" w:hAnsi="Times New Roman" w:cs="Times New Roman"/>
          <w:sz w:val="24"/>
          <w:szCs w:val="24"/>
        </w:rPr>
      </w:pPr>
    </w:p>
    <w:p w14:paraId="3A457FCE" w14:textId="25C9D19D" w:rsidR="00631C0D" w:rsidRPr="00631C0D" w:rsidRDefault="00631C0D" w:rsidP="00631C0D">
      <w:pPr>
        <w:spacing w:after="0" w:line="240" w:lineRule="auto"/>
        <w:rPr>
          <w:rFonts w:ascii="Times New Roman" w:hAnsi="Times New Roman" w:cs="Times New Roman"/>
          <w:sz w:val="24"/>
          <w:szCs w:val="24"/>
        </w:rPr>
      </w:pPr>
    </w:p>
    <w:p w14:paraId="5D43FA91" w14:textId="5C1D7C8F" w:rsidR="005639C1" w:rsidRPr="005639C1" w:rsidRDefault="00B621BD" w:rsidP="00FF0924">
      <w:pPr>
        <w:pStyle w:val="ListParagraph"/>
        <w:numPr>
          <w:ilvl w:val="0"/>
          <w:numId w:val="2"/>
        </w:numPr>
        <w:spacing w:after="0" w:line="240" w:lineRule="auto"/>
        <w:rPr>
          <w:rFonts w:ascii="Times New Roman" w:hAnsi="Times New Roman" w:cs="Times New Roman"/>
          <w:sz w:val="24"/>
          <w:szCs w:val="24"/>
        </w:rPr>
      </w:pPr>
      <w:r w:rsidRPr="00B621BD">
        <w:rPr>
          <w:rFonts w:ascii="Times New Roman" w:hAnsi="Times New Roman" w:cs="Times New Roman"/>
          <w:b/>
          <w:sz w:val="24"/>
          <w:szCs w:val="24"/>
          <w:u w:val="single"/>
        </w:rPr>
        <w:t xml:space="preserve">FOR </w:t>
      </w:r>
      <w:r>
        <w:rPr>
          <w:rFonts w:ascii="Times New Roman" w:hAnsi="Times New Roman" w:cs="Times New Roman"/>
          <w:b/>
          <w:sz w:val="24"/>
          <w:szCs w:val="24"/>
          <w:u w:val="single"/>
        </w:rPr>
        <w:t>MICROSOFT WINDOWS</w:t>
      </w:r>
      <w:r w:rsidRPr="00B621BD">
        <w:rPr>
          <w:rFonts w:ascii="Times New Roman" w:hAnsi="Times New Roman" w:cs="Times New Roman"/>
          <w:b/>
          <w:sz w:val="24"/>
          <w:szCs w:val="24"/>
          <w:u w:val="single"/>
        </w:rPr>
        <w:t xml:space="preserve"> COMPUTERS</w:t>
      </w:r>
      <w:r>
        <w:rPr>
          <w:rFonts w:ascii="Times New Roman" w:hAnsi="Times New Roman" w:cs="Times New Roman"/>
          <w:sz w:val="24"/>
          <w:szCs w:val="24"/>
        </w:rPr>
        <w:t xml:space="preserve">: </w:t>
      </w:r>
      <w:r w:rsidR="00261FF1">
        <w:rPr>
          <w:rFonts w:ascii="Times New Roman" w:hAnsi="Times New Roman" w:cs="Times New Roman"/>
          <w:sz w:val="24"/>
          <w:szCs w:val="24"/>
        </w:rPr>
        <w:t xml:space="preserve">The workbook </w:t>
      </w:r>
      <w:r w:rsidR="005639C1" w:rsidRPr="005639C1">
        <w:rPr>
          <w:rFonts w:ascii="Times New Roman" w:hAnsi="Times New Roman" w:cs="Times New Roman"/>
          <w:sz w:val="24"/>
          <w:szCs w:val="24"/>
        </w:rPr>
        <w:t xml:space="preserve">should function properly on </w:t>
      </w:r>
      <w:r w:rsidR="00F819E7">
        <w:rPr>
          <w:rFonts w:ascii="Times New Roman" w:hAnsi="Times New Roman" w:cs="Times New Roman"/>
          <w:sz w:val="24"/>
          <w:szCs w:val="24"/>
        </w:rPr>
        <w:t xml:space="preserve">Microsoft </w:t>
      </w:r>
      <w:r w:rsidR="005639C1" w:rsidRPr="005639C1">
        <w:rPr>
          <w:rFonts w:ascii="Times New Roman" w:hAnsi="Times New Roman" w:cs="Times New Roman"/>
          <w:sz w:val="24"/>
          <w:szCs w:val="24"/>
        </w:rPr>
        <w:t xml:space="preserve">Windows implementations of Microsoft Excel 2010 and later versions.  </w:t>
      </w:r>
    </w:p>
    <w:p w14:paraId="13F0653E" w14:textId="77777777" w:rsidR="005639C1" w:rsidRDefault="005639C1" w:rsidP="00FF092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Earlier versions of Excel may not support all functions and formatting.</w:t>
      </w:r>
    </w:p>
    <w:p w14:paraId="0868C9D4" w14:textId="77777777" w:rsidR="009A0DC8" w:rsidRDefault="00844562" w:rsidP="00FF092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Proper functioning requires </w:t>
      </w:r>
      <w:r w:rsidR="009A0DC8">
        <w:rPr>
          <w:rFonts w:ascii="Times New Roman" w:hAnsi="Times New Roman" w:cs="Times New Roman"/>
          <w:sz w:val="24"/>
          <w:szCs w:val="24"/>
        </w:rPr>
        <w:t>a</w:t>
      </w:r>
      <w:r w:rsidR="002C0503">
        <w:rPr>
          <w:rFonts w:ascii="Times New Roman" w:hAnsi="Times New Roman" w:cs="Times New Roman"/>
          <w:sz w:val="24"/>
          <w:szCs w:val="24"/>
        </w:rPr>
        <w:t>n</w:t>
      </w:r>
      <w:r w:rsidR="009A0DC8">
        <w:rPr>
          <w:rFonts w:ascii="Times New Roman" w:hAnsi="Times New Roman" w:cs="Times New Roman"/>
          <w:sz w:val="24"/>
          <w:szCs w:val="24"/>
        </w:rPr>
        <w:t xml:space="preserve"> </w:t>
      </w:r>
      <w:r>
        <w:rPr>
          <w:rFonts w:ascii="Times New Roman" w:hAnsi="Times New Roman" w:cs="Times New Roman"/>
          <w:sz w:val="24"/>
          <w:szCs w:val="24"/>
        </w:rPr>
        <w:t xml:space="preserve">Excel configuration </w:t>
      </w:r>
      <w:r w:rsidR="009A0DC8">
        <w:rPr>
          <w:rFonts w:ascii="Times New Roman" w:hAnsi="Times New Roman" w:cs="Times New Roman"/>
          <w:sz w:val="24"/>
          <w:szCs w:val="24"/>
        </w:rPr>
        <w:t xml:space="preserve">that </w:t>
      </w:r>
      <w:r w:rsidR="00261FF1">
        <w:rPr>
          <w:rFonts w:ascii="Times New Roman" w:hAnsi="Times New Roman" w:cs="Times New Roman"/>
          <w:sz w:val="24"/>
          <w:szCs w:val="24"/>
        </w:rPr>
        <w:t>support</w:t>
      </w:r>
      <w:r w:rsidR="009A0DC8">
        <w:rPr>
          <w:rFonts w:ascii="Times New Roman" w:hAnsi="Times New Roman" w:cs="Times New Roman"/>
          <w:sz w:val="24"/>
          <w:szCs w:val="24"/>
        </w:rPr>
        <w:t>s</w:t>
      </w:r>
      <w:r>
        <w:rPr>
          <w:rFonts w:ascii="Times New Roman" w:hAnsi="Times New Roman" w:cs="Times New Roman"/>
          <w:sz w:val="24"/>
          <w:szCs w:val="24"/>
        </w:rPr>
        <w:t xml:space="preserve"> iterative calculations</w:t>
      </w:r>
      <w:r w:rsidR="00261FF1">
        <w:rPr>
          <w:rFonts w:ascii="Times New Roman" w:hAnsi="Times New Roman" w:cs="Times New Roman"/>
          <w:sz w:val="24"/>
          <w:szCs w:val="24"/>
        </w:rPr>
        <w:t>.</w:t>
      </w:r>
      <w:r w:rsidR="009A0DC8">
        <w:rPr>
          <w:rFonts w:ascii="Times New Roman" w:hAnsi="Times New Roman" w:cs="Times New Roman"/>
          <w:sz w:val="24"/>
          <w:szCs w:val="24"/>
        </w:rPr>
        <w:t xml:space="preserve">  If an error or warning message concerning ‘Circular References’ </w:t>
      </w:r>
      <w:r w:rsidR="00DC3D4E">
        <w:rPr>
          <w:rFonts w:ascii="Times New Roman" w:hAnsi="Times New Roman" w:cs="Times New Roman"/>
          <w:sz w:val="24"/>
          <w:szCs w:val="24"/>
        </w:rPr>
        <w:t>is</w:t>
      </w:r>
      <w:r w:rsidR="00EE1006">
        <w:rPr>
          <w:rFonts w:ascii="Times New Roman" w:hAnsi="Times New Roman" w:cs="Times New Roman"/>
          <w:sz w:val="24"/>
          <w:szCs w:val="24"/>
        </w:rPr>
        <w:t xml:space="preserve"> observed upon opening the workbook, </w:t>
      </w:r>
      <w:r w:rsidR="009A0DC8">
        <w:rPr>
          <w:rFonts w:ascii="Times New Roman" w:hAnsi="Times New Roman" w:cs="Times New Roman"/>
          <w:sz w:val="24"/>
          <w:szCs w:val="24"/>
        </w:rPr>
        <w:t xml:space="preserve">such as the one below, the Excel configuration </w:t>
      </w:r>
      <w:r w:rsidR="00EE1006">
        <w:rPr>
          <w:rFonts w:ascii="Times New Roman" w:hAnsi="Times New Roman" w:cs="Times New Roman"/>
          <w:sz w:val="24"/>
          <w:szCs w:val="24"/>
        </w:rPr>
        <w:t xml:space="preserve">on your computer </w:t>
      </w:r>
      <w:r w:rsidR="009A0DC8">
        <w:rPr>
          <w:rFonts w:ascii="Times New Roman" w:hAnsi="Times New Roman" w:cs="Times New Roman"/>
          <w:sz w:val="24"/>
          <w:szCs w:val="24"/>
        </w:rPr>
        <w:t>will need to be changed</w:t>
      </w:r>
    </w:p>
    <w:p w14:paraId="37137660" w14:textId="77777777" w:rsidR="009A0DC8" w:rsidRPr="00284019" w:rsidRDefault="009A0DC8" w:rsidP="009A0DC8">
      <w:pPr>
        <w:spacing w:after="0" w:line="240" w:lineRule="auto"/>
        <w:rPr>
          <w:rFonts w:ascii="Times New Roman" w:hAnsi="Times New Roman" w:cs="Times New Roman"/>
          <w:sz w:val="16"/>
          <w:szCs w:val="16"/>
        </w:rPr>
      </w:pPr>
    </w:p>
    <w:p w14:paraId="00B108BC" w14:textId="77777777" w:rsidR="009A0DC8" w:rsidRDefault="009A0DC8" w:rsidP="009A0DC8">
      <w:pPr>
        <w:spacing w:after="0" w:line="240" w:lineRule="auto"/>
        <w:rPr>
          <w:rFonts w:ascii="Times New Roman" w:hAnsi="Times New Roman" w:cs="Times New Roman"/>
          <w:sz w:val="24"/>
          <w:szCs w:val="24"/>
        </w:rPr>
      </w:pPr>
      <w:r>
        <w:rPr>
          <w:noProof/>
        </w:rPr>
        <w:drawing>
          <wp:inline distT="0" distB="0" distL="0" distR="0" wp14:anchorId="49346674" wp14:editId="7A4B5CB5">
            <wp:extent cx="5943600" cy="770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770890"/>
                    </a:xfrm>
                    <a:prstGeom prst="rect">
                      <a:avLst/>
                    </a:prstGeom>
                  </pic:spPr>
                </pic:pic>
              </a:graphicData>
            </a:graphic>
          </wp:inline>
        </w:drawing>
      </w:r>
    </w:p>
    <w:p w14:paraId="22A8CF31" w14:textId="77777777" w:rsidR="00261FF1" w:rsidRPr="00284019" w:rsidRDefault="00261FF1" w:rsidP="009A0DC8">
      <w:pPr>
        <w:spacing w:after="0" w:line="240" w:lineRule="auto"/>
        <w:rPr>
          <w:rFonts w:ascii="Times New Roman" w:hAnsi="Times New Roman" w:cs="Times New Roman"/>
          <w:sz w:val="16"/>
          <w:szCs w:val="16"/>
        </w:rPr>
      </w:pPr>
    </w:p>
    <w:p w14:paraId="41215BCD" w14:textId="77777777" w:rsidR="00844562" w:rsidRDefault="00261FF1" w:rsidP="00261FF1">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Configuration can be set/checked under:</w:t>
      </w:r>
    </w:p>
    <w:p w14:paraId="37CB9403" w14:textId="77777777" w:rsidR="00261FF1" w:rsidRDefault="00261FF1" w:rsidP="00261FF1">
      <w:pPr>
        <w:spacing w:after="0" w:line="240" w:lineRule="auto"/>
        <w:ind w:left="1440" w:firstLine="720"/>
        <w:rPr>
          <w:rFonts w:ascii="Times New Roman" w:hAnsi="Times New Roman" w:cs="Times New Roman"/>
          <w:sz w:val="24"/>
          <w:szCs w:val="24"/>
        </w:rPr>
      </w:pPr>
      <w:r w:rsidRPr="00261FF1">
        <w:rPr>
          <w:rFonts w:ascii="Times New Roman" w:hAnsi="Times New Roman" w:cs="Times New Roman"/>
          <w:sz w:val="24"/>
          <w:szCs w:val="24"/>
        </w:rPr>
        <w:t xml:space="preserve">File </w:t>
      </w:r>
      <w:r w:rsidRPr="00261FF1">
        <w:sym w:font="Wingdings" w:char="F0E0"/>
      </w:r>
      <w:r w:rsidRPr="00261FF1">
        <w:rPr>
          <w:rFonts w:ascii="Times New Roman" w:hAnsi="Times New Roman" w:cs="Times New Roman"/>
          <w:sz w:val="24"/>
          <w:szCs w:val="24"/>
        </w:rPr>
        <w:t xml:space="preserve"> Options </w:t>
      </w:r>
      <w:r w:rsidRPr="00261FF1">
        <w:sym w:font="Wingdings" w:char="F0E0"/>
      </w:r>
      <w:r w:rsidRPr="00261FF1">
        <w:rPr>
          <w:rFonts w:ascii="Times New Roman" w:hAnsi="Times New Roman" w:cs="Times New Roman"/>
          <w:sz w:val="24"/>
          <w:szCs w:val="24"/>
        </w:rPr>
        <w:t xml:space="preserve"> Formulas</w:t>
      </w:r>
    </w:p>
    <w:p w14:paraId="17FA12A8" w14:textId="77777777" w:rsidR="00261FF1" w:rsidRDefault="00261FF1" w:rsidP="00261FF1">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Check “Enable </w:t>
      </w:r>
      <w:r w:rsidRPr="00261FF1">
        <w:rPr>
          <w:rFonts w:ascii="Times New Roman" w:hAnsi="Times New Roman" w:cs="Times New Roman"/>
          <w:sz w:val="24"/>
          <w:szCs w:val="24"/>
          <w:u w:val="single"/>
        </w:rPr>
        <w:t>i</w:t>
      </w:r>
      <w:r>
        <w:rPr>
          <w:rFonts w:ascii="Times New Roman" w:hAnsi="Times New Roman" w:cs="Times New Roman"/>
          <w:sz w:val="24"/>
          <w:szCs w:val="24"/>
        </w:rPr>
        <w:t>terative calculation”</w:t>
      </w:r>
    </w:p>
    <w:p w14:paraId="6FAA6928" w14:textId="77777777" w:rsidR="00261FF1" w:rsidRDefault="00261FF1" w:rsidP="00261FF1">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Set “Ma</w:t>
      </w:r>
      <w:r w:rsidRPr="00261FF1">
        <w:rPr>
          <w:rFonts w:ascii="Times New Roman" w:hAnsi="Times New Roman" w:cs="Times New Roman"/>
          <w:sz w:val="24"/>
          <w:szCs w:val="24"/>
          <w:u w:val="single"/>
        </w:rPr>
        <w:t>x</w:t>
      </w:r>
      <w:r>
        <w:rPr>
          <w:rFonts w:ascii="Times New Roman" w:hAnsi="Times New Roman" w:cs="Times New Roman"/>
          <w:sz w:val="24"/>
          <w:szCs w:val="24"/>
        </w:rPr>
        <w:t>imum iterations:” to 10,000</w:t>
      </w:r>
    </w:p>
    <w:p w14:paraId="77911139" w14:textId="77777777" w:rsidR="00261FF1" w:rsidRPr="00261FF1" w:rsidRDefault="00261FF1" w:rsidP="00261FF1">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Set “Maximum </w:t>
      </w:r>
      <w:r w:rsidRPr="00261FF1">
        <w:rPr>
          <w:rFonts w:ascii="Times New Roman" w:hAnsi="Times New Roman" w:cs="Times New Roman"/>
          <w:sz w:val="24"/>
          <w:szCs w:val="24"/>
          <w:u w:val="single"/>
        </w:rPr>
        <w:t>C</w:t>
      </w:r>
      <w:r>
        <w:rPr>
          <w:rFonts w:ascii="Times New Roman" w:hAnsi="Times New Roman" w:cs="Times New Roman"/>
          <w:sz w:val="24"/>
          <w:szCs w:val="24"/>
        </w:rPr>
        <w:t>hange:” to 0.0001</w:t>
      </w:r>
    </w:p>
    <w:p w14:paraId="4D7F3C90" w14:textId="77777777" w:rsidR="005639C1" w:rsidRPr="005639C1" w:rsidRDefault="005639C1" w:rsidP="00FF0924">
      <w:pPr>
        <w:pStyle w:val="ListParagraph"/>
        <w:spacing w:after="0" w:line="240" w:lineRule="auto"/>
        <w:rPr>
          <w:rFonts w:ascii="Times New Roman" w:hAnsi="Times New Roman" w:cs="Times New Roman"/>
          <w:sz w:val="24"/>
          <w:szCs w:val="24"/>
        </w:rPr>
      </w:pPr>
    </w:p>
    <w:p w14:paraId="214B8AB7" w14:textId="77777777" w:rsidR="00DC576B" w:rsidRPr="005639C1" w:rsidRDefault="00DC576B" w:rsidP="00DC576B">
      <w:pPr>
        <w:pStyle w:val="ListParagraph"/>
        <w:spacing w:after="0" w:line="240" w:lineRule="auto"/>
        <w:rPr>
          <w:rFonts w:ascii="Times New Roman" w:hAnsi="Times New Roman" w:cs="Times New Roman"/>
          <w:sz w:val="24"/>
          <w:szCs w:val="24"/>
        </w:rPr>
      </w:pPr>
    </w:p>
    <w:p w14:paraId="169FF996" w14:textId="2BA2FCD6" w:rsidR="00AC4CF7" w:rsidRDefault="00AC4CF7" w:rsidP="00DC576B">
      <w:pPr>
        <w:pStyle w:val="ListParagraph"/>
        <w:numPr>
          <w:ilvl w:val="0"/>
          <w:numId w:val="2"/>
        </w:numPr>
        <w:spacing w:after="0" w:line="240" w:lineRule="auto"/>
        <w:rPr>
          <w:rFonts w:ascii="Times New Roman" w:hAnsi="Times New Roman" w:cs="Times New Roman"/>
          <w:sz w:val="24"/>
          <w:szCs w:val="24"/>
        </w:rPr>
      </w:pPr>
      <w:r w:rsidRPr="00AC4CF7">
        <w:rPr>
          <w:rFonts w:ascii="Times New Roman" w:hAnsi="Times New Roman" w:cs="Times New Roman"/>
          <w:b/>
          <w:sz w:val="24"/>
          <w:szCs w:val="24"/>
          <w:u w:val="single"/>
        </w:rPr>
        <w:lastRenderedPageBreak/>
        <w:t>FOR APPLE COMPUTERS</w:t>
      </w:r>
      <w:r>
        <w:rPr>
          <w:rFonts w:ascii="Times New Roman" w:hAnsi="Times New Roman" w:cs="Times New Roman"/>
          <w:b/>
          <w:sz w:val="24"/>
          <w:szCs w:val="24"/>
        </w:rPr>
        <w:t xml:space="preserve">: </w:t>
      </w:r>
      <w:r w:rsidR="001E6715">
        <w:rPr>
          <w:rFonts w:ascii="Times New Roman" w:hAnsi="Times New Roman" w:cs="Times New Roman"/>
          <w:sz w:val="24"/>
          <w:szCs w:val="24"/>
        </w:rPr>
        <w:t xml:space="preserve">This workbook should function on Microsoft Excel for Mac operating systems. Similar to Microsoft Windows, earlier versions of Excel for Mac may not </w:t>
      </w:r>
      <w:r w:rsidR="008D3890">
        <w:rPr>
          <w:rFonts w:ascii="Times New Roman" w:hAnsi="Times New Roman" w:cs="Times New Roman"/>
          <w:sz w:val="24"/>
          <w:szCs w:val="24"/>
        </w:rPr>
        <w:t xml:space="preserve">work </w:t>
      </w:r>
      <w:r w:rsidR="00F12267">
        <w:rPr>
          <w:rFonts w:ascii="Times New Roman" w:hAnsi="Times New Roman" w:cs="Times New Roman"/>
          <w:sz w:val="24"/>
          <w:szCs w:val="24"/>
        </w:rPr>
        <w:t>effectively.</w:t>
      </w:r>
    </w:p>
    <w:p w14:paraId="5A4ECDBD" w14:textId="77777777" w:rsidR="00F12267" w:rsidRDefault="00F12267" w:rsidP="00F1226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Proper functioning requires an Excel configuration that supports iterative calculations.  If an error or warning message concerning ‘Circular References’ is observed upon opening the workbook, such as the one below, the Excel configuration on your computer will need to be changed</w:t>
      </w:r>
    </w:p>
    <w:p w14:paraId="26CA726A" w14:textId="6FBD244E" w:rsidR="00F12267" w:rsidRDefault="00F12267" w:rsidP="00F12267">
      <w:pPr>
        <w:spacing w:after="0" w:line="240" w:lineRule="auto"/>
        <w:rPr>
          <w:rFonts w:ascii="Times New Roman" w:hAnsi="Times New Roman" w:cs="Times New Roman"/>
          <w:sz w:val="24"/>
          <w:szCs w:val="24"/>
        </w:rPr>
      </w:pPr>
    </w:p>
    <w:p w14:paraId="4626B28E" w14:textId="73F95E9E" w:rsidR="00F12267" w:rsidRDefault="00F12267" w:rsidP="00F12267">
      <w:pPr>
        <w:spacing w:after="0" w:line="240" w:lineRule="auto"/>
        <w:ind w:left="2880"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312DC48" wp14:editId="4B4F8705">
            <wp:extent cx="1854679" cy="239922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9086" cy="2417860"/>
                    </a:xfrm>
                    <a:prstGeom prst="rect">
                      <a:avLst/>
                    </a:prstGeom>
                    <a:noFill/>
                  </pic:spPr>
                </pic:pic>
              </a:graphicData>
            </a:graphic>
          </wp:inline>
        </w:drawing>
      </w:r>
    </w:p>
    <w:p w14:paraId="06AF43F1" w14:textId="7A1440A7" w:rsidR="00AC4CF7" w:rsidRPr="005A2DD4" w:rsidRDefault="00AC4CF7" w:rsidP="005A2DD4">
      <w:pPr>
        <w:spacing w:after="0" w:line="240" w:lineRule="auto"/>
        <w:rPr>
          <w:rFonts w:ascii="Times New Roman" w:hAnsi="Times New Roman" w:cs="Times New Roman"/>
          <w:sz w:val="24"/>
          <w:szCs w:val="24"/>
        </w:rPr>
      </w:pPr>
    </w:p>
    <w:p w14:paraId="4BAD7DDF" w14:textId="55E91A4F" w:rsidR="005A2DD4" w:rsidRDefault="005A2DD4" w:rsidP="005A2DD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Configuration can be set/checked under:</w:t>
      </w:r>
    </w:p>
    <w:p w14:paraId="6AA3265B" w14:textId="77777777" w:rsidR="00EE06B1" w:rsidRDefault="00EE06B1" w:rsidP="00EE06B1">
      <w:pPr>
        <w:pStyle w:val="ListParagraph"/>
        <w:spacing w:after="0" w:line="240" w:lineRule="auto"/>
        <w:ind w:left="1440"/>
        <w:rPr>
          <w:rFonts w:ascii="Times New Roman" w:hAnsi="Times New Roman" w:cs="Times New Roman"/>
          <w:sz w:val="24"/>
          <w:szCs w:val="24"/>
        </w:rPr>
      </w:pPr>
    </w:p>
    <w:p w14:paraId="29159656" w14:textId="63710720" w:rsidR="005A2DD4" w:rsidRDefault="005A2DD4" w:rsidP="005A2DD4">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Click Excel</w:t>
      </w:r>
      <w:r w:rsidR="00EE06B1">
        <w:rPr>
          <w:rFonts w:ascii="Times New Roman" w:hAnsi="Times New Roman" w:cs="Times New Roman"/>
          <w:sz w:val="24"/>
          <w:szCs w:val="24"/>
        </w:rPr>
        <w:t xml:space="preserve"> </w:t>
      </w:r>
    </w:p>
    <w:p w14:paraId="7E1FBFBD" w14:textId="530FF108" w:rsidR="005A2DD4" w:rsidRDefault="00EE06B1" w:rsidP="005A2DD4">
      <w:pPr>
        <w:pStyle w:val="ListParagraph"/>
        <w:spacing w:after="0" w:line="240" w:lineRule="auto"/>
        <w:ind w:left="144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59EA596" wp14:editId="13812058">
                <wp:simplePos x="0" y="0"/>
                <wp:positionH relativeFrom="column">
                  <wp:posOffset>370936</wp:posOffset>
                </wp:positionH>
                <wp:positionV relativeFrom="paragraph">
                  <wp:posOffset>94351</wp:posOffset>
                </wp:positionV>
                <wp:extent cx="828136" cy="879895"/>
                <wp:effectExtent l="0" t="38100" r="48260" b="34925"/>
                <wp:wrapNone/>
                <wp:docPr id="6" name="Straight Arrow Connector 6"/>
                <wp:cNvGraphicFramePr/>
                <a:graphic xmlns:a="http://schemas.openxmlformats.org/drawingml/2006/main">
                  <a:graphicData uri="http://schemas.microsoft.com/office/word/2010/wordprocessingShape">
                    <wps:wsp>
                      <wps:cNvCnPr/>
                      <wps:spPr>
                        <a:xfrm flipV="1">
                          <a:off x="0" y="0"/>
                          <a:ext cx="828136" cy="8798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7AFC43C" id="_x0000_t32" coordsize="21600,21600" o:spt="32" o:oned="t" path="m,l21600,21600e" filled="f">
                <v:path arrowok="t" fillok="f" o:connecttype="none"/>
                <o:lock v:ext="edit" shapetype="t"/>
              </v:shapetype>
              <v:shape id="Straight Arrow Connector 6" o:spid="_x0000_s1026" type="#_x0000_t32" style="position:absolute;margin-left:29.2pt;margin-top:7.45pt;width:65.2pt;height:69.3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" strokecolor="#4579b8 [3044]">
                <v:stroke endarrow="block"/>
              </v:shape>
            </w:pict>
          </mc:Fallback>
        </mc:AlternateContent>
      </w:r>
      <w:r w:rsidR="005A2DD4">
        <w:rPr>
          <w:rFonts w:ascii="Times New Roman" w:hAnsi="Times New Roman" w:cs="Times New Roman"/>
          <w:noProof/>
          <w:sz w:val="24"/>
          <w:szCs w:val="24"/>
        </w:rPr>
        <w:drawing>
          <wp:inline distT="0" distB="0" distL="0" distR="0" wp14:anchorId="71A682FF" wp14:editId="49463203">
            <wp:extent cx="5171440" cy="1209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1440" cy="1209675"/>
                    </a:xfrm>
                    <a:prstGeom prst="rect">
                      <a:avLst/>
                    </a:prstGeom>
                    <a:noFill/>
                  </pic:spPr>
                </pic:pic>
              </a:graphicData>
            </a:graphic>
          </wp:inline>
        </w:drawing>
      </w:r>
    </w:p>
    <w:p w14:paraId="2FF4658B" w14:textId="6FC4585C" w:rsidR="005A2DD4" w:rsidRDefault="005A2DD4" w:rsidP="005A2DD4">
      <w:pPr>
        <w:pStyle w:val="ListParagraph"/>
        <w:spacing w:after="0" w:line="240" w:lineRule="auto"/>
        <w:ind w:left="1440"/>
        <w:rPr>
          <w:rFonts w:ascii="Times New Roman" w:hAnsi="Times New Roman" w:cs="Times New Roman"/>
          <w:sz w:val="24"/>
          <w:szCs w:val="24"/>
        </w:rPr>
      </w:pPr>
    </w:p>
    <w:p w14:paraId="5A7EC525" w14:textId="1583F3E8" w:rsidR="00EE06B1" w:rsidRDefault="00EE06B1" w:rsidP="005A2DD4">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In the drop down menu </w:t>
      </w:r>
      <w:r w:rsidRPr="00EE06B1">
        <w:rPr>
          <w:rFonts w:ascii="Times New Roman" w:hAnsi="Times New Roman" w:cs="Times New Roman"/>
          <w:sz w:val="24"/>
          <w:szCs w:val="24"/>
        </w:rPr>
        <w:sym w:font="Wingdings" w:char="F0E0"/>
      </w:r>
      <w:r>
        <w:rPr>
          <w:rFonts w:ascii="Times New Roman" w:hAnsi="Times New Roman" w:cs="Times New Roman"/>
          <w:sz w:val="24"/>
          <w:szCs w:val="24"/>
        </w:rPr>
        <w:t xml:space="preserve"> Preferences </w:t>
      </w:r>
      <w:r w:rsidRPr="00EE06B1">
        <w:rPr>
          <w:rFonts w:ascii="Times New Roman" w:hAnsi="Times New Roman" w:cs="Times New Roman"/>
          <w:sz w:val="24"/>
          <w:szCs w:val="24"/>
        </w:rPr>
        <w:sym w:font="Wingdings" w:char="F0E0"/>
      </w:r>
      <w:r>
        <w:rPr>
          <w:rFonts w:ascii="Times New Roman" w:hAnsi="Times New Roman" w:cs="Times New Roman"/>
          <w:sz w:val="24"/>
          <w:szCs w:val="24"/>
        </w:rPr>
        <w:t xml:space="preserve"> Calculation (under formulas and lists)</w:t>
      </w:r>
    </w:p>
    <w:p w14:paraId="311BB375" w14:textId="7CAFC7E8" w:rsidR="00EE06B1" w:rsidRDefault="00EE06B1" w:rsidP="005A2DD4">
      <w:pPr>
        <w:pStyle w:val="ListParagraph"/>
        <w:spacing w:after="0" w:line="240" w:lineRule="auto"/>
        <w:ind w:left="1440"/>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60288" behindDoc="0" locked="0" layoutInCell="1" allowOverlap="1" wp14:anchorId="7E94FFAC" wp14:editId="2C87F887">
                <wp:simplePos x="0" y="0"/>
                <wp:positionH relativeFrom="column">
                  <wp:posOffset>129396</wp:posOffset>
                </wp:positionH>
                <wp:positionV relativeFrom="paragraph">
                  <wp:posOffset>1763850</wp:posOffset>
                </wp:positionV>
                <wp:extent cx="948906" cy="370936"/>
                <wp:effectExtent l="0" t="38100" r="60960" b="29210"/>
                <wp:wrapNone/>
                <wp:docPr id="8" name="Straight Arrow Connector 8"/>
                <wp:cNvGraphicFramePr/>
                <a:graphic xmlns:a="http://schemas.openxmlformats.org/drawingml/2006/main">
                  <a:graphicData uri="http://schemas.microsoft.com/office/word/2010/wordprocessingShape">
                    <wps:wsp>
                      <wps:cNvCnPr/>
                      <wps:spPr>
                        <a:xfrm flipV="1">
                          <a:off x="0" y="0"/>
                          <a:ext cx="948906" cy="3709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81FE49" id="Straight Arrow Connector 8" o:spid="_x0000_s1026" type="#_x0000_t32" style="position:absolute;margin-left:10.2pt;margin-top:138.9pt;width:74.7pt;height:29.2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" strokecolor="#4579b8 [3044]">
                <v:stroke endarrow="block"/>
              </v:shape>
            </w:pict>
          </mc:Fallback>
        </mc:AlternateContent>
      </w:r>
      <w:r>
        <w:rPr>
          <w:noProof/>
        </w:rPr>
        <w:drawing>
          <wp:inline distT="0" distB="0" distL="0" distR="0" wp14:anchorId="0D2B7D4D" wp14:editId="4A04E8C2">
            <wp:extent cx="5175885" cy="2976245"/>
            <wp:effectExtent l="0" t="0" r="5715" b="0"/>
            <wp:docPr id="7" name="Picture 7" descr="Screen Shot 2021-10-26 at 12.03.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 Shot 2021-10-26 at 12.03.44 PM.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175885" cy="2976245"/>
                    </a:xfrm>
                    <a:prstGeom prst="rect">
                      <a:avLst/>
                    </a:prstGeom>
                    <a:noFill/>
                    <a:ln>
                      <a:noFill/>
                    </a:ln>
                  </pic:spPr>
                </pic:pic>
              </a:graphicData>
            </a:graphic>
          </wp:inline>
        </w:drawing>
      </w:r>
    </w:p>
    <w:p w14:paraId="1F8F8DD2" w14:textId="1221CD3C" w:rsidR="00EE06B1" w:rsidRDefault="00EE06B1" w:rsidP="005A2DD4">
      <w:pPr>
        <w:pStyle w:val="ListParagraph"/>
        <w:spacing w:after="0" w:line="240" w:lineRule="auto"/>
        <w:ind w:left="1440"/>
        <w:rPr>
          <w:rFonts w:ascii="Times New Roman" w:hAnsi="Times New Roman" w:cs="Times New Roman"/>
          <w:sz w:val="24"/>
          <w:szCs w:val="24"/>
        </w:rPr>
      </w:pPr>
    </w:p>
    <w:p w14:paraId="35CB2CE5" w14:textId="5920B46A" w:rsidR="00E248F3" w:rsidRDefault="00AF7273" w:rsidP="005A2DD4">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Make sure that “Use iterative calculation” is checked and the maximum iterations is set to “10,000” while the maximum change is set to “0.0001”</w:t>
      </w:r>
    </w:p>
    <w:p w14:paraId="56B621C5" w14:textId="6C4709C3" w:rsidR="00AF7273" w:rsidRDefault="00AF7273" w:rsidP="005A2DD4">
      <w:pPr>
        <w:pStyle w:val="ListParagraph"/>
        <w:spacing w:after="0" w:line="240" w:lineRule="auto"/>
        <w:ind w:left="1440"/>
        <w:rPr>
          <w:rFonts w:ascii="Times New Roman" w:hAnsi="Times New Roman" w:cs="Times New Roman"/>
          <w:sz w:val="24"/>
          <w:szCs w:val="24"/>
        </w:rPr>
      </w:pPr>
    </w:p>
    <w:p w14:paraId="7C4E7F3D" w14:textId="697C4907" w:rsidR="00AF7273" w:rsidRDefault="00A71DDC" w:rsidP="005A2DD4">
      <w:pPr>
        <w:pStyle w:val="ListParagraph"/>
        <w:spacing w:after="0" w:line="240" w:lineRule="auto"/>
        <w:ind w:left="144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00A8096" wp14:editId="2F89EBFC">
                <wp:simplePos x="0" y="0"/>
                <wp:positionH relativeFrom="column">
                  <wp:posOffset>2562044</wp:posOffset>
                </wp:positionH>
                <wp:positionV relativeFrom="paragraph">
                  <wp:posOffset>1407736</wp:posOffset>
                </wp:positionV>
                <wp:extent cx="1915064" cy="707210"/>
                <wp:effectExtent l="38100" t="0" r="28575" b="74295"/>
                <wp:wrapNone/>
                <wp:docPr id="10" name="Straight Arrow Connector 10"/>
                <wp:cNvGraphicFramePr/>
                <a:graphic xmlns:a="http://schemas.openxmlformats.org/drawingml/2006/main">
                  <a:graphicData uri="http://schemas.microsoft.com/office/word/2010/wordprocessingShape">
                    <wps:wsp>
                      <wps:cNvCnPr/>
                      <wps:spPr>
                        <a:xfrm flipH="1">
                          <a:off x="0" y="0"/>
                          <a:ext cx="1915064" cy="7072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F229AF" id="Straight Arrow Connector 10" o:spid="_x0000_s1026" type="#_x0000_t32" style="position:absolute;margin-left:201.75pt;margin-top:110.85pt;width:150.8pt;height:55.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" strokecolor="#4579b8 [3044]">
                <v:stroke endarrow="block"/>
              </v:shape>
            </w:pict>
          </mc:Fallback>
        </mc:AlternateContent>
      </w:r>
      <w:r>
        <w:rPr>
          <w:rFonts w:ascii="Times New Roman" w:hAnsi="Times New Roman" w:cs="Times New Roman"/>
          <w:noProof/>
          <w:sz w:val="24"/>
          <w:szCs w:val="24"/>
        </w:rPr>
        <w:drawing>
          <wp:inline distT="0" distB="0" distL="0" distR="0" wp14:anchorId="793871D9" wp14:editId="0E0EFC70">
            <wp:extent cx="3110076" cy="312931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22613" cy="3141930"/>
                    </a:xfrm>
                    <a:prstGeom prst="rect">
                      <a:avLst/>
                    </a:prstGeom>
                    <a:noFill/>
                  </pic:spPr>
                </pic:pic>
              </a:graphicData>
            </a:graphic>
          </wp:inline>
        </w:drawing>
      </w:r>
    </w:p>
    <w:p w14:paraId="6A54FE7D" w14:textId="77777777" w:rsidR="00E248F3" w:rsidRPr="005A2DD4" w:rsidRDefault="00E248F3" w:rsidP="005A2DD4">
      <w:pPr>
        <w:pStyle w:val="ListParagraph"/>
        <w:spacing w:after="0" w:line="240" w:lineRule="auto"/>
        <w:ind w:left="1440"/>
        <w:rPr>
          <w:rFonts w:ascii="Times New Roman" w:hAnsi="Times New Roman" w:cs="Times New Roman"/>
          <w:sz w:val="24"/>
          <w:szCs w:val="24"/>
        </w:rPr>
      </w:pPr>
    </w:p>
    <w:p w14:paraId="6EAA9547" w14:textId="18099418" w:rsidR="00246BBA" w:rsidRDefault="00246BBA" w:rsidP="008853A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Note that for both Microsoft Windows and Apple computers, it is prudent to check the iterative calculations prior to use. It has been found that updates to Microsoft Excel and Microsoft Office tend to put Excel back to its original settings.</w:t>
      </w:r>
    </w:p>
    <w:p w14:paraId="4283227A" w14:textId="77777777" w:rsidR="00246BBA" w:rsidRDefault="00246BBA" w:rsidP="00246BBA">
      <w:pPr>
        <w:pStyle w:val="ListParagraph"/>
        <w:spacing w:after="0" w:line="240" w:lineRule="auto"/>
        <w:rPr>
          <w:rFonts w:ascii="Times New Roman" w:hAnsi="Times New Roman" w:cs="Times New Roman"/>
          <w:sz w:val="24"/>
          <w:szCs w:val="24"/>
        </w:rPr>
      </w:pPr>
    </w:p>
    <w:p w14:paraId="24349B05" w14:textId="20300E8A" w:rsidR="008853A2" w:rsidRDefault="008853A2" w:rsidP="008853A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workbook is composed of 5 ‘worksheets’ or ‘tabs.’</w:t>
      </w:r>
    </w:p>
    <w:p w14:paraId="112BD208" w14:textId="77777777" w:rsidR="008853A2" w:rsidRDefault="008853A2" w:rsidP="008853A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DC576B">
        <w:rPr>
          <w:rFonts w:ascii="Times New Roman" w:hAnsi="Times New Roman" w:cs="Times New Roman"/>
          <w:sz w:val="24"/>
          <w:szCs w:val="24"/>
        </w:rPr>
        <w:t xml:space="preserve">“Calculator” </w:t>
      </w:r>
      <w:r>
        <w:rPr>
          <w:rFonts w:ascii="Times New Roman" w:hAnsi="Times New Roman" w:cs="Times New Roman"/>
          <w:sz w:val="24"/>
          <w:szCs w:val="24"/>
        </w:rPr>
        <w:t>[2]</w:t>
      </w:r>
      <w:r w:rsidRPr="00DC576B">
        <w:rPr>
          <w:rFonts w:ascii="Times New Roman" w:hAnsi="Times New Roman" w:cs="Times New Roman"/>
          <w:sz w:val="24"/>
          <w:szCs w:val="24"/>
        </w:rPr>
        <w:t xml:space="preserve"> “</w:t>
      </w:r>
      <w:proofErr w:type="spellStart"/>
      <w:r w:rsidRPr="00DC576B">
        <w:rPr>
          <w:rFonts w:ascii="Times New Roman" w:hAnsi="Times New Roman" w:cs="Times New Roman"/>
          <w:sz w:val="24"/>
          <w:szCs w:val="24"/>
        </w:rPr>
        <w:t>Get_HR</w:t>
      </w:r>
      <w:proofErr w:type="spellEnd"/>
      <w:r w:rsidRPr="00DC576B">
        <w:rPr>
          <w:rFonts w:ascii="Times New Roman" w:hAnsi="Times New Roman" w:cs="Times New Roman"/>
          <w:sz w:val="24"/>
          <w:szCs w:val="24"/>
        </w:rPr>
        <w:t>”</w:t>
      </w:r>
      <w:r>
        <w:rPr>
          <w:rFonts w:ascii="Times New Roman" w:hAnsi="Times New Roman" w:cs="Times New Roman"/>
          <w:sz w:val="24"/>
          <w:szCs w:val="24"/>
        </w:rPr>
        <w:t xml:space="preserve"> [3]</w:t>
      </w:r>
      <w:r w:rsidRPr="00DC576B">
        <w:rPr>
          <w:rFonts w:ascii="Times New Roman" w:hAnsi="Times New Roman" w:cs="Times New Roman"/>
          <w:sz w:val="24"/>
          <w:szCs w:val="24"/>
        </w:rPr>
        <w:t xml:space="preserve"> “Time Accounting” </w:t>
      </w:r>
      <w:r>
        <w:rPr>
          <w:rFonts w:ascii="Times New Roman" w:hAnsi="Times New Roman" w:cs="Times New Roman"/>
          <w:sz w:val="24"/>
          <w:szCs w:val="24"/>
        </w:rPr>
        <w:t>[4]</w:t>
      </w:r>
      <w:r w:rsidRPr="00DC576B">
        <w:rPr>
          <w:rFonts w:ascii="Times New Roman" w:hAnsi="Times New Roman" w:cs="Times New Roman"/>
          <w:sz w:val="24"/>
          <w:szCs w:val="24"/>
        </w:rPr>
        <w:t xml:space="preserve"> “</w:t>
      </w:r>
      <w:proofErr w:type="spellStart"/>
      <w:r w:rsidRPr="00DC576B">
        <w:rPr>
          <w:rFonts w:ascii="Times New Roman" w:hAnsi="Times New Roman" w:cs="Times New Roman"/>
          <w:sz w:val="24"/>
          <w:szCs w:val="24"/>
        </w:rPr>
        <w:t>GHR_RecidRates</w:t>
      </w:r>
      <w:proofErr w:type="spellEnd"/>
      <w:r w:rsidRPr="00DC576B">
        <w:rPr>
          <w:rFonts w:ascii="Times New Roman" w:hAnsi="Times New Roman" w:cs="Times New Roman"/>
          <w:sz w:val="24"/>
          <w:szCs w:val="24"/>
        </w:rPr>
        <w:t xml:space="preserve">” </w:t>
      </w:r>
    </w:p>
    <w:p w14:paraId="59252DC2" w14:textId="77777777" w:rsidR="008853A2" w:rsidRPr="00DC576B" w:rsidRDefault="008853A2" w:rsidP="008853A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DC576B">
        <w:rPr>
          <w:rFonts w:ascii="Times New Roman" w:hAnsi="Times New Roman" w:cs="Times New Roman"/>
          <w:sz w:val="24"/>
          <w:szCs w:val="24"/>
        </w:rPr>
        <w:t xml:space="preserve"> “</w:t>
      </w:r>
      <w:proofErr w:type="spellStart"/>
      <w:r w:rsidRPr="00DC576B">
        <w:rPr>
          <w:rFonts w:ascii="Times New Roman" w:hAnsi="Times New Roman" w:cs="Times New Roman"/>
          <w:sz w:val="24"/>
          <w:szCs w:val="24"/>
        </w:rPr>
        <w:t>GHR_NS_RecidRates</w:t>
      </w:r>
      <w:proofErr w:type="spellEnd"/>
      <w:r w:rsidRPr="00DC576B">
        <w:rPr>
          <w:rFonts w:ascii="Times New Roman" w:hAnsi="Times New Roman" w:cs="Times New Roman"/>
          <w:sz w:val="24"/>
          <w:szCs w:val="24"/>
        </w:rPr>
        <w:t xml:space="preserve">”  </w:t>
      </w:r>
    </w:p>
    <w:p w14:paraId="025955CE" w14:textId="77777777" w:rsidR="008853A2" w:rsidRPr="00DC576B" w:rsidRDefault="008853A2" w:rsidP="008853A2">
      <w:pPr>
        <w:pStyle w:val="ListParagraph"/>
        <w:numPr>
          <w:ilvl w:val="1"/>
          <w:numId w:val="2"/>
        </w:numPr>
        <w:spacing w:after="0" w:line="240" w:lineRule="auto"/>
        <w:rPr>
          <w:rFonts w:ascii="Times New Roman" w:hAnsi="Times New Roman" w:cs="Times New Roman"/>
          <w:sz w:val="24"/>
          <w:szCs w:val="24"/>
        </w:rPr>
      </w:pPr>
      <w:r w:rsidRPr="00DC576B">
        <w:rPr>
          <w:rFonts w:ascii="Times New Roman" w:hAnsi="Times New Roman" w:cs="Times New Roman"/>
          <w:b/>
          <w:sz w:val="24"/>
          <w:szCs w:val="24"/>
        </w:rPr>
        <w:lastRenderedPageBreak/>
        <w:t xml:space="preserve">As a user, you will </w:t>
      </w:r>
      <w:r w:rsidRPr="00DC576B">
        <w:rPr>
          <w:rFonts w:ascii="Times New Roman" w:hAnsi="Times New Roman" w:cs="Times New Roman"/>
          <w:b/>
          <w:sz w:val="24"/>
          <w:szCs w:val="24"/>
          <w:u w:val="single"/>
        </w:rPr>
        <w:t>only</w:t>
      </w:r>
      <w:r w:rsidRPr="00DC576B">
        <w:rPr>
          <w:rFonts w:ascii="Times New Roman" w:hAnsi="Times New Roman" w:cs="Times New Roman"/>
          <w:b/>
          <w:sz w:val="24"/>
          <w:szCs w:val="24"/>
        </w:rPr>
        <w:t xml:space="preserve"> interact with the “Calculator” </w:t>
      </w:r>
      <w:r>
        <w:rPr>
          <w:rFonts w:ascii="Times New Roman" w:hAnsi="Times New Roman" w:cs="Times New Roman"/>
          <w:b/>
          <w:sz w:val="24"/>
          <w:szCs w:val="24"/>
        </w:rPr>
        <w:t>worksheet/</w:t>
      </w:r>
      <w:r w:rsidRPr="00DC576B">
        <w:rPr>
          <w:rFonts w:ascii="Times New Roman" w:hAnsi="Times New Roman" w:cs="Times New Roman"/>
          <w:b/>
          <w:sz w:val="24"/>
          <w:szCs w:val="24"/>
        </w:rPr>
        <w:t>tab.</w:t>
      </w:r>
      <w:r w:rsidRPr="00DC576B">
        <w:rPr>
          <w:rFonts w:ascii="Times New Roman" w:hAnsi="Times New Roman" w:cs="Times New Roman"/>
          <w:sz w:val="24"/>
          <w:szCs w:val="24"/>
        </w:rPr>
        <w:t xml:space="preserve">  The other tabs perform critical functions that determine the information presented on the </w:t>
      </w:r>
      <w:r>
        <w:rPr>
          <w:rFonts w:ascii="Times New Roman" w:hAnsi="Times New Roman" w:cs="Times New Roman"/>
          <w:sz w:val="24"/>
          <w:szCs w:val="24"/>
        </w:rPr>
        <w:t>“</w:t>
      </w:r>
      <w:r w:rsidRPr="00DC576B">
        <w:rPr>
          <w:rFonts w:ascii="Times New Roman" w:hAnsi="Times New Roman" w:cs="Times New Roman"/>
          <w:sz w:val="24"/>
          <w:szCs w:val="24"/>
        </w:rPr>
        <w:t>Calculator</w:t>
      </w:r>
      <w:r>
        <w:rPr>
          <w:rFonts w:ascii="Times New Roman" w:hAnsi="Times New Roman" w:cs="Times New Roman"/>
          <w:sz w:val="24"/>
          <w:szCs w:val="24"/>
        </w:rPr>
        <w:t>”</w:t>
      </w:r>
      <w:r w:rsidRPr="00DC576B">
        <w:rPr>
          <w:rFonts w:ascii="Times New Roman" w:hAnsi="Times New Roman" w:cs="Times New Roman"/>
          <w:sz w:val="24"/>
          <w:szCs w:val="24"/>
        </w:rPr>
        <w:t xml:space="preserve"> tab.  They </w:t>
      </w:r>
      <w:r>
        <w:rPr>
          <w:rFonts w:ascii="Times New Roman" w:hAnsi="Times New Roman" w:cs="Times New Roman"/>
          <w:sz w:val="24"/>
          <w:szCs w:val="24"/>
        </w:rPr>
        <w:t>have been</w:t>
      </w:r>
      <w:r w:rsidRPr="00DC576B">
        <w:rPr>
          <w:rFonts w:ascii="Times New Roman" w:hAnsi="Times New Roman" w:cs="Times New Roman"/>
          <w:sz w:val="24"/>
          <w:szCs w:val="24"/>
        </w:rPr>
        <w:t xml:space="preserve"> locked and password protected to prevent modification.  Details about worksheet functions and data are provided </w:t>
      </w:r>
      <w:r>
        <w:rPr>
          <w:rFonts w:ascii="Times New Roman" w:hAnsi="Times New Roman" w:cs="Times New Roman"/>
          <w:sz w:val="24"/>
          <w:szCs w:val="24"/>
        </w:rPr>
        <w:t xml:space="preserve">below </w:t>
      </w:r>
      <w:r w:rsidRPr="00DC576B">
        <w:rPr>
          <w:rFonts w:ascii="Times New Roman" w:hAnsi="Times New Roman" w:cs="Times New Roman"/>
          <w:sz w:val="24"/>
          <w:szCs w:val="24"/>
        </w:rPr>
        <w:t xml:space="preserve">in the description of </w:t>
      </w:r>
      <w:r w:rsidRPr="00BA5999">
        <w:rPr>
          <w:rFonts w:ascii="Times New Roman" w:hAnsi="Times New Roman" w:cs="Times New Roman"/>
          <w:sz w:val="24"/>
          <w:szCs w:val="24"/>
          <w:u w:val="single"/>
        </w:rPr>
        <w:t>How the calculator works</w:t>
      </w:r>
      <w:r>
        <w:rPr>
          <w:rFonts w:ascii="Times New Roman" w:hAnsi="Times New Roman" w:cs="Times New Roman"/>
          <w:sz w:val="24"/>
          <w:szCs w:val="24"/>
        </w:rPr>
        <w:t>.</w:t>
      </w:r>
    </w:p>
    <w:p w14:paraId="383D69A6" w14:textId="77777777" w:rsidR="008853A2" w:rsidRPr="00DC576B" w:rsidRDefault="008853A2" w:rsidP="008853A2">
      <w:pPr>
        <w:pStyle w:val="ListParagraph"/>
        <w:spacing w:after="0" w:line="240" w:lineRule="auto"/>
        <w:ind w:left="1080"/>
        <w:rPr>
          <w:rFonts w:ascii="Times New Roman" w:hAnsi="Times New Roman" w:cs="Times New Roman"/>
          <w:sz w:val="24"/>
          <w:szCs w:val="24"/>
        </w:rPr>
      </w:pPr>
    </w:p>
    <w:p w14:paraId="270AC66C" w14:textId="77777777" w:rsidR="008853A2" w:rsidRPr="005639C1" w:rsidRDefault="008853A2" w:rsidP="008853A2">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User input is limited to cells that are highlighted in bright yellow.  All other cells are locked and cannot be modified.</w:t>
      </w:r>
      <w:r w:rsidRPr="00DC576B">
        <w:rPr>
          <w:rFonts w:ascii="Times New Roman" w:hAnsi="Times New Roman" w:cs="Times New Roman"/>
          <w:sz w:val="24"/>
          <w:szCs w:val="24"/>
        </w:rPr>
        <w:t xml:space="preserve"> </w:t>
      </w:r>
    </w:p>
    <w:p w14:paraId="04989EB6" w14:textId="77777777" w:rsidR="008853A2" w:rsidRPr="008853A2" w:rsidRDefault="008853A2" w:rsidP="008853A2">
      <w:pPr>
        <w:pStyle w:val="ListParagraph"/>
        <w:spacing w:after="0" w:line="240" w:lineRule="auto"/>
        <w:rPr>
          <w:rFonts w:ascii="Times New Roman" w:hAnsi="Times New Roman" w:cs="Times New Roman"/>
          <w:sz w:val="24"/>
          <w:szCs w:val="24"/>
        </w:rPr>
      </w:pPr>
    </w:p>
    <w:p w14:paraId="6A154001" w14:textId="1356D0E5" w:rsidR="00DC576B" w:rsidRDefault="00DC576B" w:rsidP="00DC576B">
      <w:pPr>
        <w:pStyle w:val="ListParagraph"/>
        <w:numPr>
          <w:ilvl w:val="0"/>
          <w:numId w:val="2"/>
        </w:numPr>
        <w:spacing w:after="0" w:line="240" w:lineRule="auto"/>
        <w:rPr>
          <w:rFonts w:ascii="Times New Roman" w:hAnsi="Times New Roman" w:cs="Times New Roman"/>
          <w:sz w:val="24"/>
          <w:szCs w:val="24"/>
        </w:rPr>
      </w:pPr>
      <w:r w:rsidRPr="006E062D">
        <w:rPr>
          <w:rFonts w:ascii="Times New Roman" w:hAnsi="Times New Roman" w:cs="Times New Roman"/>
          <w:color w:val="FF0000"/>
          <w:sz w:val="24"/>
          <w:szCs w:val="24"/>
          <w:u w:val="single"/>
        </w:rPr>
        <w:t xml:space="preserve"> </w:t>
      </w:r>
      <w:r w:rsidRPr="006E062D">
        <w:rPr>
          <w:rFonts w:ascii="Times New Roman" w:hAnsi="Times New Roman" w:cs="Times New Roman"/>
          <w:b/>
          <w:color w:val="FF0000"/>
          <w:sz w:val="24"/>
          <w:szCs w:val="24"/>
          <w:u w:val="single"/>
        </w:rPr>
        <w:t>IMPORTANT:</w:t>
      </w:r>
      <w:r>
        <w:rPr>
          <w:rFonts w:ascii="Times New Roman" w:hAnsi="Times New Roman" w:cs="Times New Roman"/>
          <w:sz w:val="24"/>
          <w:szCs w:val="24"/>
        </w:rPr>
        <w:t xml:space="preserve">  At the start of each </w:t>
      </w:r>
      <w:r w:rsidR="006E062D">
        <w:rPr>
          <w:rFonts w:ascii="Times New Roman" w:hAnsi="Times New Roman" w:cs="Times New Roman"/>
          <w:sz w:val="24"/>
          <w:szCs w:val="24"/>
        </w:rPr>
        <w:t>case</w:t>
      </w:r>
      <w:r>
        <w:rPr>
          <w:rFonts w:ascii="Times New Roman" w:hAnsi="Times New Roman" w:cs="Times New Roman"/>
          <w:sz w:val="24"/>
          <w:szCs w:val="24"/>
        </w:rPr>
        <w:t xml:space="preserve">, </w:t>
      </w:r>
      <w:r w:rsidR="00284019">
        <w:rPr>
          <w:rFonts w:ascii="Times New Roman" w:hAnsi="Times New Roman" w:cs="Times New Roman"/>
          <w:b/>
          <w:sz w:val="24"/>
          <w:szCs w:val="24"/>
          <w:u w:val="single"/>
        </w:rPr>
        <w:t>double c</w:t>
      </w:r>
      <w:r w:rsidRPr="006E062D">
        <w:rPr>
          <w:rFonts w:ascii="Times New Roman" w:hAnsi="Times New Roman" w:cs="Times New Roman"/>
          <w:b/>
          <w:sz w:val="24"/>
          <w:szCs w:val="24"/>
          <w:u w:val="single"/>
        </w:rPr>
        <w:t xml:space="preserve">lick on the </w:t>
      </w:r>
      <w:r w:rsidR="006E062D">
        <w:rPr>
          <w:rFonts w:ascii="Times New Roman" w:hAnsi="Times New Roman" w:cs="Times New Roman"/>
          <w:b/>
          <w:sz w:val="24"/>
          <w:szCs w:val="24"/>
          <w:u w:val="single"/>
        </w:rPr>
        <w:t xml:space="preserve">grey </w:t>
      </w:r>
      <w:r w:rsidRPr="006E062D">
        <w:rPr>
          <w:rFonts w:ascii="Times New Roman" w:hAnsi="Times New Roman" w:cs="Times New Roman"/>
          <w:b/>
          <w:sz w:val="24"/>
          <w:szCs w:val="24"/>
          <w:u w:val="single"/>
        </w:rPr>
        <w:t>RESET button</w:t>
      </w:r>
      <w:r w:rsidRPr="006E062D">
        <w:rPr>
          <w:rFonts w:ascii="Times New Roman" w:hAnsi="Times New Roman" w:cs="Times New Roman"/>
          <w:b/>
          <w:sz w:val="24"/>
          <w:szCs w:val="24"/>
        </w:rPr>
        <w:t>!</w:t>
      </w:r>
      <w:r>
        <w:rPr>
          <w:rFonts w:ascii="Times New Roman" w:hAnsi="Times New Roman" w:cs="Times New Roman"/>
          <w:sz w:val="24"/>
          <w:szCs w:val="24"/>
        </w:rPr>
        <w:t xml:space="preserve">  Click</w:t>
      </w:r>
      <w:r w:rsidR="00284019">
        <w:rPr>
          <w:rFonts w:ascii="Times New Roman" w:hAnsi="Times New Roman" w:cs="Times New Roman"/>
          <w:sz w:val="24"/>
          <w:szCs w:val="24"/>
        </w:rPr>
        <w:t>ing the</w:t>
      </w:r>
      <w:r>
        <w:rPr>
          <w:rFonts w:ascii="Times New Roman" w:hAnsi="Times New Roman" w:cs="Times New Roman"/>
          <w:sz w:val="24"/>
          <w:szCs w:val="24"/>
        </w:rPr>
        <w:t xml:space="preserve"> RESET between cases</w:t>
      </w:r>
      <w:r w:rsidR="00284019">
        <w:rPr>
          <w:rFonts w:ascii="Times New Roman" w:hAnsi="Times New Roman" w:cs="Times New Roman"/>
          <w:sz w:val="24"/>
          <w:szCs w:val="24"/>
        </w:rPr>
        <w:t>,</w:t>
      </w:r>
      <w:r>
        <w:rPr>
          <w:rFonts w:ascii="Times New Roman" w:hAnsi="Times New Roman" w:cs="Times New Roman"/>
          <w:sz w:val="24"/>
          <w:szCs w:val="24"/>
        </w:rPr>
        <w:t xml:space="preserve"> as well as at the start of each session</w:t>
      </w:r>
      <w:r w:rsidR="00284019">
        <w:rPr>
          <w:rFonts w:ascii="Times New Roman" w:hAnsi="Times New Roman" w:cs="Times New Roman"/>
          <w:sz w:val="24"/>
          <w:szCs w:val="24"/>
        </w:rPr>
        <w:t>, is recommended</w:t>
      </w:r>
      <w:r>
        <w:rPr>
          <w:rFonts w:ascii="Times New Roman" w:hAnsi="Times New Roman" w:cs="Times New Roman"/>
          <w:sz w:val="24"/>
          <w:szCs w:val="24"/>
        </w:rPr>
        <w:t>.</w:t>
      </w:r>
      <w:r w:rsidR="006E062D">
        <w:rPr>
          <w:rFonts w:ascii="Times New Roman" w:hAnsi="Times New Roman" w:cs="Times New Roman"/>
          <w:sz w:val="24"/>
          <w:szCs w:val="24"/>
        </w:rPr>
        <w:t xml:space="preserve">  Anytime the calculator does not appear to be functioning properly, it is prudent to start with a fresh workbook.</w:t>
      </w:r>
    </w:p>
    <w:p w14:paraId="4C45690A" w14:textId="77777777" w:rsidR="00DC576B" w:rsidRDefault="00DC576B" w:rsidP="00DC576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RESET button should clear out any/all data that exists on the worksheet.</w:t>
      </w:r>
    </w:p>
    <w:p w14:paraId="1DDB7615" w14:textId="17B6F3B8" w:rsidR="006E062D" w:rsidRDefault="00DC576B" w:rsidP="00DC576B">
      <w:pPr>
        <w:pStyle w:val="ListParagraph"/>
        <w:numPr>
          <w:ilvl w:val="1"/>
          <w:numId w:val="2"/>
        </w:numPr>
        <w:spacing w:after="0" w:line="240" w:lineRule="auto"/>
        <w:rPr>
          <w:rFonts w:ascii="Times New Roman" w:hAnsi="Times New Roman" w:cs="Times New Roman"/>
          <w:sz w:val="24"/>
          <w:szCs w:val="24"/>
        </w:rPr>
      </w:pPr>
      <w:r w:rsidRPr="006E062D">
        <w:rPr>
          <w:rFonts w:ascii="Times New Roman" w:hAnsi="Times New Roman" w:cs="Times New Roman"/>
          <w:b/>
          <w:sz w:val="24"/>
          <w:szCs w:val="24"/>
        </w:rPr>
        <w:t xml:space="preserve">Failure to RESET the worksheet prior to each </w:t>
      </w:r>
      <w:r w:rsidR="006E062D">
        <w:rPr>
          <w:rFonts w:ascii="Times New Roman" w:hAnsi="Times New Roman" w:cs="Times New Roman"/>
          <w:b/>
          <w:sz w:val="24"/>
          <w:szCs w:val="24"/>
        </w:rPr>
        <w:t xml:space="preserve">new </w:t>
      </w:r>
      <w:r w:rsidRPr="006E062D">
        <w:rPr>
          <w:rFonts w:ascii="Times New Roman" w:hAnsi="Times New Roman" w:cs="Times New Roman"/>
          <w:b/>
          <w:sz w:val="24"/>
          <w:szCs w:val="24"/>
        </w:rPr>
        <w:t xml:space="preserve">case </w:t>
      </w:r>
      <w:r w:rsidR="00E200AC">
        <w:rPr>
          <w:rFonts w:ascii="Times New Roman" w:hAnsi="Times New Roman" w:cs="Times New Roman"/>
          <w:b/>
          <w:sz w:val="24"/>
          <w:szCs w:val="24"/>
        </w:rPr>
        <w:t xml:space="preserve">can </w:t>
      </w:r>
      <w:r w:rsidR="006E062D">
        <w:rPr>
          <w:rFonts w:ascii="Times New Roman" w:hAnsi="Times New Roman" w:cs="Times New Roman"/>
          <w:b/>
          <w:sz w:val="24"/>
          <w:szCs w:val="24"/>
        </w:rPr>
        <w:t xml:space="preserve">produce </w:t>
      </w:r>
      <w:r w:rsidRPr="006E062D">
        <w:rPr>
          <w:rFonts w:ascii="Times New Roman" w:hAnsi="Times New Roman" w:cs="Times New Roman"/>
          <w:b/>
          <w:sz w:val="24"/>
          <w:szCs w:val="24"/>
        </w:rPr>
        <w:t>errors</w:t>
      </w:r>
      <w:r w:rsidR="006E062D">
        <w:rPr>
          <w:rFonts w:ascii="Times New Roman" w:hAnsi="Times New Roman" w:cs="Times New Roman"/>
          <w:b/>
          <w:sz w:val="24"/>
          <w:szCs w:val="24"/>
        </w:rPr>
        <w:t>.  P</w:t>
      </w:r>
      <w:r w:rsidRPr="006E062D">
        <w:rPr>
          <w:rFonts w:ascii="Times New Roman" w:hAnsi="Times New Roman" w:cs="Times New Roman"/>
          <w:b/>
          <w:sz w:val="24"/>
          <w:szCs w:val="24"/>
        </w:rPr>
        <w:t>ersistence of previously entered information may be hidden from the user’s view</w:t>
      </w:r>
      <w:r w:rsidR="00E200AC">
        <w:rPr>
          <w:rFonts w:ascii="Times New Roman" w:hAnsi="Times New Roman" w:cs="Times New Roman"/>
          <w:b/>
          <w:sz w:val="24"/>
          <w:szCs w:val="24"/>
        </w:rPr>
        <w:t xml:space="preserve"> and </w:t>
      </w:r>
      <w:r w:rsidR="00284019">
        <w:rPr>
          <w:rFonts w:ascii="Times New Roman" w:hAnsi="Times New Roman" w:cs="Times New Roman"/>
          <w:b/>
          <w:sz w:val="24"/>
          <w:szCs w:val="24"/>
        </w:rPr>
        <w:t xml:space="preserve">could </w:t>
      </w:r>
      <w:r w:rsidR="00E200AC">
        <w:rPr>
          <w:rFonts w:ascii="Times New Roman" w:hAnsi="Times New Roman" w:cs="Times New Roman"/>
          <w:b/>
          <w:sz w:val="24"/>
          <w:szCs w:val="24"/>
        </w:rPr>
        <w:t xml:space="preserve">affect </w:t>
      </w:r>
      <w:r w:rsidR="006E062D">
        <w:rPr>
          <w:rFonts w:ascii="Times New Roman" w:hAnsi="Times New Roman" w:cs="Times New Roman"/>
          <w:b/>
          <w:sz w:val="24"/>
          <w:szCs w:val="24"/>
        </w:rPr>
        <w:t>output</w:t>
      </w:r>
      <w:r w:rsidRPr="006E062D">
        <w:rPr>
          <w:rFonts w:ascii="Times New Roman" w:hAnsi="Times New Roman" w:cs="Times New Roman"/>
          <w:b/>
          <w:sz w:val="24"/>
          <w:szCs w:val="24"/>
        </w:rPr>
        <w:t>.</w:t>
      </w:r>
      <w:r>
        <w:rPr>
          <w:rFonts w:ascii="Times New Roman" w:hAnsi="Times New Roman" w:cs="Times New Roman"/>
          <w:sz w:val="24"/>
          <w:szCs w:val="24"/>
        </w:rPr>
        <w:t xml:space="preserve">  </w:t>
      </w:r>
    </w:p>
    <w:p w14:paraId="074DC81E" w14:textId="77777777" w:rsidR="00DC576B" w:rsidRDefault="00DC576B" w:rsidP="00DC576B">
      <w:pPr>
        <w:pStyle w:val="ListParagraph"/>
        <w:numPr>
          <w:ilvl w:val="1"/>
          <w:numId w:val="2"/>
        </w:numPr>
        <w:spacing w:after="0" w:line="240" w:lineRule="auto"/>
        <w:rPr>
          <w:rFonts w:ascii="Times New Roman" w:hAnsi="Times New Roman" w:cs="Times New Roman"/>
          <w:sz w:val="24"/>
          <w:szCs w:val="24"/>
        </w:rPr>
      </w:pPr>
      <w:r w:rsidRPr="00CE39F9">
        <w:rPr>
          <w:rFonts w:ascii="Times New Roman" w:hAnsi="Times New Roman" w:cs="Times New Roman"/>
          <w:sz w:val="24"/>
          <w:szCs w:val="24"/>
          <w:u w:val="single"/>
        </w:rPr>
        <w:t>Always start use of th</w:t>
      </w:r>
      <w:r w:rsidR="006E062D">
        <w:rPr>
          <w:rFonts w:ascii="Times New Roman" w:hAnsi="Times New Roman" w:cs="Times New Roman"/>
          <w:sz w:val="24"/>
          <w:szCs w:val="24"/>
          <w:u w:val="single"/>
        </w:rPr>
        <w:t>e</w:t>
      </w:r>
      <w:r w:rsidRPr="00CE39F9">
        <w:rPr>
          <w:rFonts w:ascii="Times New Roman" w:hAnsi="Times New Roman" w:cs="Times New Roman"/>
          <w:sz w:val="24"/>
          <w:szCs w:val="24"/>
          <w:u w:val="single"/>
        </w:rPr>
        <w:t xml:space="preserve"> calculator for a particu</w:t>
      </w:r>
      <w:r w:rsidR="00E200AC">
        <w:rPr>
          <w:rFonts w:ascii="Times New Roman" w:hAnsi="Times New Roman" w:cs="Times New Roman"/>
          <w:sz w:val="24"/>
          <w:szCs w:val="24"/>
          <w:u w:val="single"/>
        </w:rPr>
        <w:t>lar case with a blank worksheet!</w:t>
      </w:r>
      <w:r>
        <w:rPr>
          <w:rFonts w:ascii="Times New Roman" w:hAnsi="Times New Roman" w:cs="Times New Roman"/>
          <w:sz w:val="24"/>
          <w:szCs w:val="24"/>
        </w:rPr>
        <w:t xml:space="preserve">       </w:t>
      </w:r>
    </w:p>
    <w:p w14:paraId="4E02DB1F" w14:textId="77777777" w:rsidR="00DC576B" w:rsidRPr="002374BB" w:rsidRDefault="00DC576B" w:rsidP="00DC576B">
      <w:pPr>
        <w:pStyle w:val="ListParagraph"/>
        <w:spacing w:after="0" w:line="240" w:lineRule="auto"/>
        <w:rPr>
          <w:rFonts w:ascii="Times New Roman" w:hAnsi="Times New Roman" w:cs="Times New Roman"/>
          <w:sz w:val="24"/>
          <w:szCs w:val="24"/>
        </w:rPr>
      </w:pPr>
    </w:p>
    <w:p w14:paraId="5E9D2541" w14:textId="77777777" w:rsidR="00DC576B" w:rsidRDefault="00DC576B" w:rsidP="00DC576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 input the date of release from the offender’s index </w:t>
      </w:r>
      <w:r w:rsidR="007C1D71">
        <w:rPr>
          <w:rFonts w:ascii="Times New Roman" w:hAnsi="Times New Roman" w:cs="Times New Roman"/>
          <w:sz w:val="24"/>
          <w:szCs w:val="24"/>
        </w:rPr>
        <w:t xml:space="preserve">sex </w:t>
      </w:r>
      <w:r>
        <w:rPr>
          <w:rFonts w:ascii="Times New Roman" w:hAnsi="Times New Roman" w:cs="Times New Roman"/>
          <w:sz w:val="24"/>
          <w:szCs w:val="24"/>
        </w:rPr>
        <w:t xml:space="preserve">offense in cell E3.  </w:t>
      </w:r>
    </w:p>
    <w:p w14:paraId="4DAB0528" w14:textId="7D100ABC" w:rsidR="00DC576B" w:rsidRDefault="00DC576B" w:rsidP="00DC576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field will accept any valid date after 1/1/1900, including potential release dates in the future</w:t>
      </w:r>
      <w:r w:rsidR="00D54853">
        <w:rPr>
          <w:rFonts w:ascii="Times New Roman" w:hAnsi="Times New Roman" w:cs="Times New Roman"/>
          <w:sz w:val="24"/>
          <w:szCs w:val="24"/>
        </w:rPr>
        <w:t>.  By default, the workbook uses a date format of MM/DD/YYYY; it will support other date formats if properly configured in the Microsoft Excel preference options.</w:t>
      </w:r>
    </w:p>
    <w:p w14:paraId="34F1A181" w14:textId="77777777" w:rsidR="00DC576B" w:rsidRDefault="00DC576B" w:rsidP="00DC576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date entered defines the end </w:t>
      </w:r>
      <w:r w:rsidR="007C1D71">
        <w:rPr>
          <w:rFonts w:ascii="Times New Roman" w:hAnsi="Times New Roman" w:cs="Times New Roman"/>
          <w:sz w:val="24"/>
          <w:szCs w:val="24"/>
        </w:rPr>
        <w:t xml:space="preserve">date of “Year 0” (shown in cell </w:t>
      </w:r>
      <w:r>
        <w:rPr>
          <w:rFonts w:ascii="Times New Roman" w:hAnsi="Times New Roman" w:cs="Times New Roman"/>
          <w:sz w:val="24"/>
          <w:szCs w:val="24"/>
        </w:rPr>
        <w:t>I5).</w:t>
      </w:r>
      <w:r w:rsidRPr="00DC576B">
        <w:rPr>
          <w:rFonts w:ascii="Times New Roman" w:hAnsi="Times New Roman" w:cs="Times New Roman"/>
          <w:sz w:val="24"/>
          <w:szCs w:val="24"/>
        </w:rPr>
        <w:t xml:space="preserve"> </w:t>
      </w:r>
    </w:p>
    <w:p w14:paraId="34CDA0C4" w14:textId="77777777" w:rsidR="00DC576B" w:rsidRPr="002374BB" w:rsidRDefault="00DC576B" w:rsidP="00DC576B">
      <w:pPr>
        <w:pStyle w:val="ListParagraph"/>
        <w:spacing w:after="0" w:line="240" w:lineRule="auto"/>
        <w:rPr>
          <w:rFonts w:ascii="Times New Roman" w:hAnsi="Times New Roman" w:cs="Times New Roman"/>
          <w:sz w:val="24"/>
          <w:szCs w:val="24"/>
        </w:rPr>
      </w:pPr>
    </w:p>
    <w:p w14:paraId="4F9D3CF2" w14:textId="77777777" w:rsidR="00DC576B" w:rsidRDefault="007C1D71" w:rsidP="00DC576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Enter:</w:t>
      </w:r>
    </w:p>
    <w:p w14:paraId="5E37DD2A" w14:textId="77777777" w:rsidR="007D6A6F" w:rsidRDefault="007D6A6F" w:rsidP="00DC576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Recidivism Risk in cell B5 (</w:t>
      </w:r>
      <w:r w:rsidR="00371AB1">
        <w:rPr>
          <w:rFonts w:ascii="Times New Roman" w:hAnsi="Times New Roman" w:cs="Times New Roman"/>
          <w:sz w:val="24"/>
          <w:szCs w:val="24"/>
        </w:rPr>
        <w:t xml:space="preserve">e.g., </w:t>
      </w:r>
      <w:r w:rsidR="002557A0">
        <w:rPr>
          <w:rFonts w:ascii="Times New Roman" w:hAnsi="Times New Roman" w:cs="Times New Roman"/>
          <w:sz w:val="24"/>
          <w:szCs w:val="24"/>
        </w:rPr>
        <w:t>32.5 percent</w:t>
      </w:r>
      <w:r>
        <w:rPr>
          <w:rFonts w:ascii="Times New Roman" w:hAnsi="Times New Roman" w:cs="Times New Roman"/>
          <w:sz w:val="24"/>
          <w:szCs w:val="24"/>
        </w:rPr>
        <w:t xml:space="preserve"> = ‘32.5’ not 0.325)</w:t>
      </w:r>
      <w:r w:rsidR="0022179D">
        <w:rPr>
          <w:rFonts w:ascii="Times New Roman" w:hAnsi="Times New Roman" w:cs="Times New Roman"/>
          <w:sz w:val="24"/>
          <w:szCs w:val="24"/>
        </w:rPr>
        <w:t xml:space="preserve">.  Input </w:t>
      </w:r>
      <w:r w:rsidR="006C308A">
        <w:rPr>
          <w:rFonts w:ascii="Times New Roman" w:hAnsi="Times New Roman" w:cs="Times New Roman"/>
          <w:sz w:val="24"/>
          <w:szCs w:val="24"/>
        </w:rPr>
        <w:t xml:space="preserve">may be any real number between 0 and 100.  </w:t>
      </w:r>
      <w:r w:rsidR="00583472">
        <w:rPr>
          <w:rFonts w:ascii="Times New Roman" w:hAnsi="Times New Roman" w:cs="Times New Roman"/>
          <w:sz w:val="24"/>
          <w:szCs w:val="24"/>
        </w:rPr>
        <w:t>Multiple d</w:t>
      </w:r>
      <w:r w:rsidR="006C308A">
        <w:rPr>
          <w:rFonts w:ascii="Times New Roman" w:hAnsi="Times New Roman" w:cs="Times New Roman"/>
          <w:sz w:val="24"/>
          <w:szCs w:val="24"/>
        </w:rPr>
        <w:t>ecimal</w:t>
      </w:r>
      <w:r w:rsidR="00583472">
        <w:rPr>
          <w:rFonts w:ascii="Times New Roman" w:hAnsi="Times New Roman" w:cs="Times New Roman"/>
          <w:sz w:val="24"/>
          <w:szCs w:val="24"/>
        </w:rPr>
        <w:t xml:space="preserve"> place</w:t>
      </w:r>
      <w:r w:rsidR="006C308A">
        <w:rPr>
          <w:rFonts w:ascii="Times New Roman" w:hAnsi="Times New Roman" w:cs="Times New Roman"/>
          <w:sz w:val="24"/>
          <w:szCs w:val="24"/>
        </w:rPr>
        <w:t xml:space="preserve">s may be specified, </w:t>
      </w:r>
      <w:r w:rsidR="00583472">
        <w:rPr>
          <w:rFonts w:ascii="Times New Roman" w:hAnsi="Times New Roman" w:cs="Times New Roman"/>
          <w:sz w:val="24"/>
          <w:szCs w:val="24"/>
        </w:rPr>
        <w:t>however</w:t>
      </w:r>
      <w:r w:rsidR="006C308A">
        <w:rPr>
          <w:rFonts w:ascii="Times New Roman" w:hAnsi="Times New Roman" w:cs="Times New Roman"/>
          <w:sz w:val="24"/>
          <w:szCs w:val="24"/>
        </w:rPr>
        <w:t xml:space="preserve"> only the first decimal place</w:t>
      </w:r>
      <w:r w:rsidR="00583472">
        <w:rPr>
          <w:rFonts w:ascii="Times New Roman" w:hAnsi="Times New Roman" w:cs="Times New Roman"/>
          <w:sz w:val="24"/>
          <w:szCs w:val="24"/>
        </w:rPr>
        <w:t xml:space="preserve"> (rounded)</w:t>
      </w:r>
      <w:r w:rsidR="006C308A">
        <w:rPr>
          <w:rFonts w:ascii="Times New Roman" w:hAnsi="Times New Roman" w:cs="Times New Roman"/>
          <w:sz w:val="24"/>
          <w:szCs w:val="24"/>
        </w:rPr>
        <w:t xml:space="preserve"> will be displayed.  </w:t>
      </w:r>
    </w:p>
    <w:p w14:paraId="202C7884" w14:textId="78F922A7" w:rsidR="007C1D71" w:rsidRDefault="007D6A6F" w:rsidP="00DC576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Follow-up time frame in cell B6 (Years).</w:t>
      </w:r>
      <w:r w:rsidR="006C308A">
        <w:rPr>
          <w:rFonts w:ascii="Times New Roman" w:hAnsi="Times New Roman" w:cs="Times New Roman"/>
          <w:sz w:val="24"/>
          <w:szCs w:val="24"/>
        </w:rPr>
        <w:t xml:space="preserve">  Must be a whole number between 1 and 20.</w:t>
      </w:r>
      <w:r>
        <w:rPr>
          <w:rFonts w:ascii="Times New Roman" w:hAnsi="Times New Roman" w:cs="Times New Roman"/>
          <w:sz w:val="24"/>
          <w:szCs w:val="24"/>
        </w:rPr>
        <w:t xml:space="preserve"> </w:t>
      </w:r>
      <w:r w:rsidR="006F4C33">
        <w:rPr>
          <w:rFonts w:ascii="Times New Roman" w:hAnsi="Times New Roman" w:cs="Times New Roman"/>
          <w:sz w:val="24"/>
          <w:szCs w:val="24"/>
        </w:rPr>
        <w:t xml:space="preserve">When the follow-up time for a case is not a whole number, we recommend that it is rounded down.  For example, for an individual with a follow-up time of 3 years, 10 months, a follow-up time of 3 would be entered.  The calculations are based on complete years of follow-up time. </w:t>
      </w:r>
    </w:p>
    <w:p w14:paraId="651814C7" w14:textId="31146447" w:rsidR="000542D5" w:rsidRDefault="007D6A6F" w:rsidP="00DC576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assessment instrument(s) use</w:t>
      </w:r>
      <w:r w:rsidR="00E200AC">
        <w:rPr>
          <w:rFonts w:ascii="Times New Roman" w:hAnsi="Times New Roman" w:cs="Times New Roman"/>
          <w:sz w:val="24"/>
          <w:szCs w:val="24"/>
        </w:rPr>
        <w:t>d</w:t>
      </w:r>
      <w:r>
        <w:rPr>
          <w:rFonts w:ascii="Times New Roman" w:hAnsi="Times New Roman" w:cs="Times New Roman"/>
          <w:sz w:val="24"/>
          <w:szCs w:val="24"/>
        </w:rPr>
        <w:t xml:space="preserve"> to estimate </w:t>
      </w:r>
      <w:r w:rsidR="00E200AC">
        <w:rPr>
          <w:rFonts w:ascii="Times New Roman" w:hAnsi="Times New Roman" w:cs="Times New Roman"/>
          <w:sz w:val="24"/>
          <w:szCs w:val="24"/>
        </w:rPr>
        <w:t xml:space="preserve">an expected </w:t>
      </w:r>
      <w:r>
        <w:rPr>
          <w:rFonts w:ascii="Times New Roman" w:hAnsi="Times New Roman" w:cs="Times New Roman"/>
          <w:sz w:val="24"/>
          <w:szCs w:val="24"/>
        </w:rPr>
        <w:t xml:space="preserve">recidivism risk at </w:t>
      </w:r>
      <w:r w:rsidR="00E200AC">
        <w:rPr>
          <w:rFonts w:ascii="Times New Roman" w:hAnsi="Times New Roman" w:cs="Times New Roman"/>
          <w:sz w:val="24"/>
          <w:szCs w:val="24"/>
        </w:rPr>
        <w:t xml:space="preserve">a specified </w:t>
      </w:r>
      <w:r>
        <w:rPr>
          <w:rFonts w:ascii="Times New Roman" w:hAnsi="Times New Roman" w:cs="Times New Roman"/>
          <w:sz w:val="24"/>
          <w:szCs w:val="24"/>
        </w:rPr>
        <w:t>follow-up period</w:t>
      </w:r>
      <w:r w:rsidR="0026474D">
        <w:rPr>
          <w:rFonts w:ascii="Times New Roman" w:hAnsi="Times New Roman" w:cs="Times New Roman"/>
          <w:sz w:val="24"/>
          <w:szCs w:val="24"/>
        </w:rPr>
        <w:t xml:space="preserve"> </w:t>
      </w:r>
      <w:r>
        <w:rPr>
          <w:rFonts w:ascii="Times New Roman" w:hAnsi="Times New Roman" w:cs="Times New Roman"/>
          <w:sz w:val="24"/>
          <w:szCs w:val="24"/>
        </w:rPr>
        <w:t xml:space="preserve">is </w:t>
      </w:r>
      <w:r w:rsidR="000542D5">
        <w:rPr>
          <w:rFonts w:ascii="Times New Roman" w:hAnsi="Times New Roman" w:cs="Times New Roman"/>
          <w:sz w:val="24"/>
          <w:szCs w:val="24"/>
        </w:rPr>
        <w:t xml:space="preserve">determined </w:t>
      </w:r>
      <w:r w:rsidR="002557A0">
        <w:rPr>
          <w:rFonts w:ascii="Times New Roman" w:hAnsi="Times New Roman" w:cs="Times New Roman"/>
          <w:sz w:val="24"/>
          <w:szCs w:val="24"/>
        </w:rPr>
        <w:t xml:space="preserve">by </w:t>
      </w:r>
      <w:r w:rsidR="000542D5">
        <w:rPr>
          <w:rFonts w:ascii="Times New Roman" w:hAnsi="Times New Roman" w:cs="Times New Roman"/>
          <w:sz w:val="24"/>
          <w:szCs w:val="24"/>
        </w:rPr>
        <w:t xml:space="preserve">the evaluator.  Many may choose to use Static-99R scores referenced to the predicted 5- or 10-year recidivism rates published in the </w:t>
      </w:r>
      <w:r w:rsidR="006F4C33">
        <w:rPr>
          <w:rFonts w:ascii="Times New Roman" w:hAnsi="Times New Roman" w:cs="Times New Roman"/>
          <w:sz w:val="24"/>
          <w:szCs w:val="24"/>
        </w:rPr>
        <w:t>most recent version of the STATIC</w:t>
      </w:r>
      <w:r w:rsidR="000542D5">
        <w:rPr>
          <w:rFonts w:ascii="Times New Roman" w:hAnsi="Times New Roman" w:cs="Times New Roman"/>
          <w:sz w:val="24"/>
          <w:szCs w:val="24"/>
        </w:rPr>
        <w:t xml:space="preserve"> Evaluators’ Workbook (</w:t>
      </w:r>
      <w:r w:rsidR="000A0DF8">
        <w:rPr>
          <w:rFonts w:ascii="Times New Roman" w:hAnsi="Times New Roman" w:cs="Times New Roman"/>
          <w:sz w:val="24"/>
          <w:szCs w:val="24"/>
        </w:rPr>
        <w:t>e.g.,</w:t>
      </w:r>
      <w:r w:rsidR="006F4C33">
        <w:rPr>
          <w:rFonts w:ascii="Times New Roman" w:hAnsi="Times New Roman" w:cs="Times New Roman"/>
          <w:sz w:val="24"/>
          <w:szCs w:val="24"/>
        </w:rPr>
        <w:t xml:space="preserve"> </w:t>
      </w:r>
      <w:r w:rsidR="00323C97">
        <w:rPr>
          <w:rFonts w:ascii="Times New Roman" w:hAnsi="Times New Roman" w:cs="Times New Roman"/>
          <w:sz w:val="24"/>
          <w:szCs w:val="24"/>
        </w:rPr>
        <w:t>Helmus, Lee, Phenix, Hanson, &amp; Thornton, 2021</w:t>
      </w:r>
      <w:r w:rsidR="000A0DF8">
        <w:rPr>
          <w:rFonts w:ascii="Times New Roman" w:hAnsi="Times New Roman" w:cs="Times New Roman"/>
          <w:sz w:val="24"/>
          <w:szCs w:val="24"/>
        </w:rPr>
        <w:t xml:space="preserve"> or subsequent versions</w:t>
      </w:r>
      <w:r w:rsidR="000542D5">
        <w:rPr>
          <w:rFonts w:ascii="Times New Roman" w:hAnsi="Times New Roman" w:cs="Times New Roman"/>
          <w:sz w:val="24"/>
          <w:szCs w:val="24"/>
        </w:rPr>
        <w:t xml:space="preserve">).  </w:t>
      </w:r>
      <w:r w:rsidR="0026474D">
        <w:rPr>
          <w:rFonts w:ascii="Times New Roman" w:hAnsi="Times New Roman" w:cs="Times New Roman"/>
          <w:sz w:val="24"/>
          <w:szCs w:val="24"/>
        </w:rPr>
        <w:t>Recidivism estimates may be referenced to the Routine or High Risk</w:t>
      </w:r>
      <w:r w:rsidR="000A0DF8">
        <w:rPr>
          <w:rFonts w:ascii="Times New Roman" w:hAnsi="Times New Roman" w:cs="Times New Roman"/>
          <w:sz w:val="24"/>
          <w:szCs w:val="24"/>
        </w:rPr>
        <w:t>/</w:t>
      </w:r>
      <w:r w:rsidR="0026474D">
        <w:rPr>
          <w:rFonts w:ascii="Times New Roman" w:hAnsi="Times New Roman" w:cs="Times New Roman"/>
          <w:sz w:val="24"/>
          <w:szCs w:val="24"/>
        </w:rPr>
        <w:t>High Needs samples.  Other evaluators</w:t>
      </w:r>
      <w:r w:rsidR="000542D5">
        <w:rPr>
          <w:rFonts w:ascii="Times New Roman" w:hAnsi="Times New Roman" w:cs="Times New Roman"/>
          <w:sz w:val="24"/>
          <w:szCs w:val="24"/>
        </w:rPr>
        <w:t xml:space="preserve"> may choose to use a combination of instruments, such as the </w:t>
      </w:r>
      <w:r w:rsidR="001370A4">
        <w:rPr>
          <w:rFonts w:ascii="Times New Roman" w:hAnsi="Times New Roman" w:cs="Times New Roman"/>
          <w:sz w:val="24"/>
          <w:szCs w:val="24"/>
        </w:rPr>
        <w:t xml:space="preserve">estimated sexual recidivism rates from the combination of Static-99R and STABLE-2007 scores or the Static-99R and Violence Risk Assessment – Sexual Offense version (VRS-SO) scores.  </w:t>
      </w:r>
    </w:p>
    <w:p w14:paraId="67E1F24E" w14:textId="6F321368" w:rsidR="000542D5" w:rsidRDefault="000542D5" w:rsidP="00DC576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Examples:</w:t>
      </w:r>
    </w:p>
    <w:p w14:paraId="62197645" w14:textId="77777777" w:rsidR="00F07285" w:rsidRDefault="000542D5" w:rsidP="000542D5">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Static-99R = 2, Routine sample, </w:t>
      </w:r>
      <w:r w:rsidR="005B287F">
        <w:rPr>
          <w:rFonts w:ascii="Times New Roman" w:hAnsi="Times New Roman" w:cs="Times New Roman"/>
          <w:sz w:val="24"/>
          <w:szCs w:val="24"/>
        </w:rPr>
        <w:t>5</w:t>
      </w:r>
      <w:r>
        <w:rPr>
          <w:rFonts w:ascii="Times New Roman" w:hAnsi="Times New Roman" w:cs="Times New Roman"/>
          <w:sz w:val="24"/>
          <w:szCs w:val="24"/>
        </w:rPr>
        <w:t xml:space="preserve">-year </w:t>
      </w:r>
      <w:r w:rsidR="00F07285">
        <w:rPr>
          <w:rFonts w:ascii="Times New Roman" w:hAnsi="Times New Roman" w:cs="Times New Roman"/>
          <w:sz w:val="24"/>
          <w:szCs w:val="24"/>
        </w:rPr>
        <w:t xml:space="preserve">estimate:  </w:t>
      </w:r>
    </w:p>
    <w:p w14:paraId="05DB3067" w14:textId="52F098B7" w:rsidR="000542D5" w:rsidRDefault="00884F63" w:rsidP="00F07285">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lastRenderedPageBreak/>
        <w:t>Recidivism Risk? (B5) = 4</w:t>
      </w:r>
      <w:r w:rsidR="005B287F">
        <w:rPr>
          <w:rFonts w:ascii="Times New Roman" w:hAnsi="Times New Roman" w:cs="Times New Roman"/>
          <w:sz w:val="24"/>
          <w:szCs w:val="24"/>
        </w:rPr>
        <w:t>.6;  At what year? (B6) = 5</w:t>
      </w:r>
    </w:p>
    <w:p w14:paraId="44DC9225" w14:textId="77777777" w:rsidR="00F07285" w:rsidRDefault="00F07285" w:rsidP="00F07285">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Static-99R = 5, Routine sample, 5-year estimate:  </w:t>
      </w:r>
    </w:p>
    <w:p w14:paraId="5CDF6E28" w14:textId="6EECD757" w:rsidR="00F07285" w:rsidRDefault="00884F63" w:rsidP="00F07285">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Recidivism Risk? (B5) = 11.7</w:t>
      </w:r>
      <w:r w:rsidR="00F07285">
        <w:rPr>
          <w:rFonts w:ascii="Times New Roman" w:hAnsi="Times New Roman" w:cs="Times New Roman"/>
          <w:sz w:val="24"/>
          <w:szCs w:val="24"/>
        </w:rPr>
        <w:t>;  At what year? (B6) = 5</w:t>
      </w:r>
    </w:p>
    <w:p w14:paraId="0291D0C6" w14:textId="77777777" w:rsidR="00F07285" w:rsidRDefault="00F07285" w:rsidP="00F07285">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Static-99R = 5, HRHN sample, 5-year estimate:  </w:t>
      </w:r>
    </w:p>
    <w:p w14:paraId="2F02E00C" w14:textId="77777777" w:rsidR="00F07285" w:rsidRDefault="005B287F" w:rsidP="00F07285">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Recidivism Risk? (B5) = 21.2</w:t>
      </w:r>
      <w:r w:rsidR="00F07285">
        <w:rPr>
          <w:rFonts w:ascii="Times New Roman" w:hAnsi="Times New Roman" w:cs="Times New Roman"/>
          <w:sz w:val="24"/>
          <w:szCs w:val="24"/>
        </w:rPr>
        <w:t>;  At what year? (B6) = 5</w:t>
      </w:r>
    </w:p>
    <w:p w14:paraId="1C59F4F8" w14:textId="77777777" w:rsidR="00F07285" w:rsidRDefault="00F07285" w:rsidP="00F07285">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Static-99R = 5, HRHN sample, 10-year estimate:  </w:t>
      </w:r>
    </w:p>
    <w:p w14:paraId="421798F3" w14:textId="77777777" w:rsidR="00F07285" w:rsidRDefault="005B287F" w:rsidP="00F07285">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Recidivism Risk? (B5) = 32.1</w:t>
      </w:r>
      <w:r w:rsidR="00F07285">
        <w:rPr>
          <w:rFonts w:ascii="Times New Roman" w:hAnsi="Times New Roman" w:cs="Times New Roman"/>
          <w:sz w:val="24"/>
          <w:szCs w:val="24"/>
        </w:rPr>
        <w:t>;  At what year? (B6) = 10</w:t>
      </w:r>
    </w:p>
    <w:p w14:paraId="1E53675D" w14:textId="644B6709" w:rsidR="00F07285" w:rsidRDefault="00F07285" w:rsidP="00F07285">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Static-99R = </w:t>
      </w:r>
      <w:r w:rsidR="00DB0725">
        <w:rPr>
          <w:rFonts w:ascii="Times New Roman" w:hAnsi="Times New Roman" w:cs="Times New Roman"/>
          <w:sz w:val="24"/>
          <w:szCs w:val="24"/>
        </w:rPr>
        <w:t>3</w:t>
      </w:r>
      <w:r>
        <w:rPr>
          <w:rFonts w:ascii="Times New Roman" w:hAnsi="Times New Roman" w:cs="Times New Roman"/>
          <w:sz w:val="24"/>
          <w:szCs w:val="24"/>
        </w:rPr>
        <w:t xml:space="preserve">, </w:t>
      </w:r>
      <w:r w:rsidR="00DB0725">
        <w:rPr>
          <w:rFonts w:ascii="Times New Roman" w:hAnsi="Times New Roman" w:cs="Times New Roman"/>
          <w:sz w:val="24"/>
          <w:szCs w:val="24"/>
        </w:rPr>
        <w:t>STABLE-2007 =</w:t>
      </w:r>
      <w:r w:rsidR="005B287F">
        <w:rPr>
          <w:rFonts w:ascii="Times New Roman" w:hAnsi="Times New Roman" w:cs="Times New Roman"/>
          <w:sz w:val="24"/>
          <w:szCs w:val="24"/>
        </w:rPr>
        <w:t xml:space="preserve"> </w:t>
      </w:r>
      <w:r w:rsidR="00DB0725">
        <w:rPr>
          <w:rFonts w:ascii="Times New Roman" w:hAnsi="Times New Roman" w:cs="Times New Roman"/>
          <w:sz w:val="24"/>
          <w:szCs w:val="24"/>
        </w:rPr>
        <w:t>8</w:t>
      </w:r>
      <w:r w:rsidR="005B287F">
        <w:rPr>
          <w:rFonts w:ascii="Times New Roman" w:hAnsi="Times New Roman" w:cs="Times New Roman"/>
          <w:sz w:val="24"/>
          <w:szCs w:val="24"/>
        </w:rPr>
        <w:t>, 5</w:t>
      </w:r>
      <w:r>
        <w:rPr>
          <w:rFonts w:ascii="Times New Roman" w:hAnsi="Times New Roman" w:cs="Times New Roman"/>
          <w:sz w:val="24"/>
          <w:szCs w:val="24"/>
        </w:rPr>
        <w:t xml:space="preserve">-year estimate:  </w:t>
      </w:r>
    </w:p>
    <w:p w14:paraId="00B12066" w14:textId="3BBCA7C6" w:rsidR="00F07285" w:rsidRDefault="00F07285" w:rsidP="00F07285">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Recidivism Risk? (B5) </w:t>
      </w:r>
      <w:r w:rsidR="005B287F">
        <w:rPr>
          <w:rFonts w:ascii="Times New Roman" w:hAnsi="Times New Roman" w:cs="Times New Roman"/>
          <w:sz w:val="24"/>
          <w:szCs w:val="24"/>
        </w:rPr>
        <w:t xml:space="preserve">= </w:t>
      </w:r>
      <w:r w:rsidR="00DB0725">
        <w:rPr>
          <w:rFonts w:ascii="Times New Roman" w:hAnsi="Times New Roman" w:cs="Times New Roman"/>
          <w:sz w:val="24"/>
          <w:szCs w:val="24"/>
        </w:rPr>
        <w:t>7.5</w:t>
      </w:r>
      <w:r w:rsidR="005B287F">
        <w:rPr>
          <w:rFonts w:ascii="Times New Roman" w:hAnsi="Times New Roman" w:cs="Times New Roman"/>
          <w:sz w:val="24"/>
          <w:szCs w:val="24"/>
        </w:rPr>
        <w:t>;  At what year? (B6) = 5</w:t>
      </w:r>
    </w:p>
    <w:p w14:paraId="3023B77B" w14:textId="77777777" w:rsidR="005B287F" w:rsidRDefault="005B287F" w:rsidP="005B287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Static-99R = 6</w:t>
      </w:r>
      <w:r w:rsidR="00F07285">
        <w:rPr>
          <w:rFonts w:ascii="Times New Roman" w:hAnsi="Times New Roman" w:cs="Times New Roman"/>
          <w:sz w:val="24"/>
          <w:szCs w:val="24"/>
        </w:rPr>
        <w:t xml:space="preserve">, </w:t>
      </w:r>
      <w:r>
        <w:rPr>
          <w:rFonts w:ascii="Times New Roman" w:hAnsi="Times New Roman" w:cs="Times New Roman"/>
          <w:sz w:val="24"/>
          <w:szCs w:val="24"/>
        </w:rPr>
        <w:t xml:space="preserve">VRS-SO pre-Tx dynamic score of 37, and 3.5 points of treatment-related change, 10-year estimate:  </w:t>
      </w:r>
    </w:p>
    <w:p w14:paraId="6542BBCE" w14:textId="77777777" w:rsidR="000542D5" w:rsidRPr="005B287F" w:rsidRDefault="005B287F" w:rsidP="008B7460">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Recidivism Risk? (B5) = 38.1;  At what year? (B6) = 10</w:t>
      </w:r>
    </w:p>
    <w:p w14:paraId="4C2BAAAC" w14:textId="77777777" w:rsidR="00DC576B" w:rsidRDefault="00DC576B" w:rsidP="00DC576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Overall risk and residual risk after time</w:t>
      </w:r>
      <w:r w:rsidR="005B287F">
        <w:rPr>
          <w:rFonts w:ascii="Times New Roman" w:hAnsi="Times New Roman" w:cs="Times New Roman"/>
          <w:sz w:val="24"/>
          <w:szCs w:val="24"/>
        </w:rPr>
        <w:t xml:space="preserve"> free</w:t>
      </w:r>
      <w:r>
        <w:rPr>
          <w:rFonts w:ascii="Times New Roman" w:hAnsi="Times New Roman" w:cs="Times New Roman"/>
          <w:sz w:val="24"/>
          <w:szCs w:val="24"/>
        </w:rPr>
        <w:t xml:space="preserve"> in the community </w:t>
      </w:r>
      <w:r w:rsidR="00DE3A4C">
        <w:rPr>
          <w:rFonts w:ascii="Times New Roman" w:hAnsi="Times New Roman" w:cs="Times New Roman"/>
          <w:sz w:val="24"/>
          <w:szCs w:val="24"/>
        </w:rPr>
        <w:t xml:space="preserve">with re-offending sexually </w:t>
      </w:r>
      <w:r>
        <w:rPr>
          <w:rFonts w:ascii="Times New Roman" w:hAnsi="Times New Roman" w:cs="Times New Roman"/>
          <w:sz w:val="24"/>
          <w:szCs w:val="24"/>
        </w:rPr>
        <w:t xml:space="preserve">will not be computed </w:t>
      </w:r>
      <w:r w:rsidR="0026474D">
        <w:rPr>
          <w:rFonts w:ascii="Times New Roman" w:hAnsi="Times New Roman" w:cs="Times New Roman"/>
          <w:sz w:val="24"/>
          <w:szCs w:val="24"/>
        </w:rPr>
        <w:t xml:space="preserve">without a </w:t>
      </w:r>
      <w:r>
        <w:rPr>
          <w:rFonts w:ascii="Times New Roman" w:hAnsi="Times New Roman" w:cs="Times New Roman"/>
          <w:sz w:val="24"/>
          <w:szCs w:val="24"/>
        </w:rPr>
        <w:t>pred</w:t>
      </w:r>
      <w:r w:rsidR="00DE3A4C">
        <w:rPr>
          <w:rFonts w:ascii="Times New Roman" w:hAnsi="Times New Roman" w:cs="Times New Roman"/>
          <w:sz w:val="24"/>
          <w:szCs w:val="24"/>
        </w:rPr>
        <w:t xml:space="preserve">icted </w:t>
      </w:r>
      <w:r w:rsidR="0026474D">
        <w:rPr>
          <w:rFonts w:ascii="Times New Roman" w:hAnsi="Times New Roman" w:cs="Times New Roman"/>
          <w:sz w:val="24"/>
          <w:szCs w:val="24"/>
        </w:rPr>
        <w:t>recidivism rate</w:t>
      </w:r>
      <w:r w:rsidR="00DE3A4C">
        <w:rPr>
          <w:rFonts w:ascii="Times New Roman" w:hAnsi="Times New Roman" w:cs="Times New Roman"/>
          <w:sz w:val="24"/>
          <w:szCs w:val="24"/>
        </w:rPr>
        <w:t xml:space="preserve"> and follow-up year in cells B5 and B6.</w:t>
      </w:r>
      <w:r>
        <w:rPr>
          <w:rFonts w:ascii="Times New Roman" w:hAnsi="Times New Roman" w:cs="Times New Roman"/>
          <w:sz w:val="24"/>
          <w:szCs w:val="24"/>
        </w:rPr>
        <w:t xml:space="preserve"> </w:t>
      </w:r>
    </w:p>
    <w:p w14:paraId="423F6459" w14:textId="77777777" w:rsidR="00DC576B" w:rsidRPr="002374BB" w:rsidRDefault="00DC576B" w:rsidP="00DE3A4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Overall </w:t>
      </w:r>
      <w:r w:rsidR="008B7460">
        <w:rPr>
          <w:rFonts w:ascii="Times New Roman" w:hAnsi="Times New Roman" w:cs="Times New Roman"/>
          <w:sz w:val="24"/>
          <w:szCs w:val="24"/>
        </w:rPr>
        <w:t xml:space="preserve">lifetime </w:t>
      </w:r>
      <w:r>
        <w:rPr>
          <w:rFonts w:ascii="Times New Roman" w:hAnsi="Times New Roman" w:cs="Times New Roman"/>
          <w:sz w:val="24"/>
          <w:szCs w:val="24"/>
        </w:rPr>
        <w:t>risk and residual risk</w:t>
      </w:r>
      <w:r w:rsidR="00DE3A4C">
        <w:rPr>
          <w:rFonts w:ascii="Times New Roman" w:hAnsi="Times New Roman" w:cs="Times New Roman"/>
          <w:sz w:val="24"/>
          <w:szCs w:val="24"/>
        </w:rPr>
        <w:t xml:space="preserve"> will be computed and displayed in </w:t>
      </w:r>
      <w:r w:rsidR="00DE3A4C" w:rsidRPr="00BA5999">
        <w:rPr>
          <w:rFonts w:ascii="Times New Roman" w:hAnsi="Times New Roman" w:cs="Times New Roman"/>
          <w:sz w:val="24"/>
          <w:szCs w:val="24"/>
        </w:rPr>
        <w:t xml:space="preserve">Column J </w:t>
      </w:r>
      <w:r w:rsidR="00DE3A4C">
        <w:rPr>
          <w:rFonts w:ascii="Times New Roman" w:hAnsi="Times New Roman" w:cs="Times New Roman"/>
          <w:sz w:val="24"/>
          <w:szCs w:val="24"/>
        </w:rPr>
        <w:t>when sufficient information is provided to apply the appropriate discrete time survival analysis</w:t>
      </w:r>
      <w:r>
        <w:rPr>
          <w:rFonts w:ascii="Times New Roman" w:hAnsi="Times New Roman" w:cs="Times New Roman"/>
          <w:sz w:val="24"/>
          <w:szCs w:val="24"/>
        </w:rPr>
        <w:t>.</w:t>
      </w:r>
      <w:r w:rsidR="00DE3A4C" w:rsidRPr="002374BB">
        <w:rPr>
          <w:rFonts w:ascii="Times New Roman" w:hAnsi="Times New Roman" w:cs="Times New Roman"/>
          <w:sz w:val="24"/>
          <w:szCs w:val="24"/>
        </w:rPr>
        <w:t xml:space="preserve"> </w:t>
      </w:r>
    </w:p>
    <w:p w14:paraId="14F97856" w14:textId="32C0FAC6" w:rsidR="00DC576B" w:rsidRPr="001F11BE" w:rsidRDefault="00DC576B" w:rsidP="001F11BE">
      <w:pPr>
        <w:pStyle w:val="ListParagraph"/>
        <w:numPr>
          <w:ilvl w:val="0"/>
          <w:numId w:val="2"/>
        </w:numPr>
        <w:spacing w:after="0" w:line="240" w:lineRule="auto"/>
        <w:rPr>
          <w:rFonts w:ascii="Times New Roman" w:hAnsi="Times New Roman" w:cs="Times New Roman"/>
          <w:sz w:val="24"/>
          <w:szCs w:val="24"/>
        </w:rPr>
      </w:pPr>
      <w:r w:rsidRPr="001F11BE">
        <w:rPr>
          <w:rFonts w:ascii="Times New Roman" w:hAnsi="Times New Roman" w:cs="Times New Roman"/>
          <w:sz w:val="24"/>
          <w:szCs w:val="24"/>
        </w:rPr>
        <w:t xml:space="preserve">Indicate whether any </w:t>
      </w:r>
      <w:r w:rsidR="00F20DC7" w:rsidRPr="001F11BE">
        <w:rPr>
          <w:rFonts w:ascii="Times New Roman" w:hAnsi="Times New Roman" w:cs="Times New Roman"/>
          <w:b/>
          <w:sz w:val="24"/>
          <w:szCs w:val="24"/>
          <w:u w:val="single"/>
        </w:rPr>
        <w:t>convictions</w:t>
      </w:r>
      <w:r w:rsidR="00F20DC7" w:rsidRPr="001F11BE">
        <w:rPr>
          <w:rFonts w:ascii="Times New Roman" w:hAnsi="Times New Roman" w:cs="Times New Roman"/>
          <w:sz w:val="24"/>
          <w:szCs w:val="24"/>
        </w:rPr>
        <w:t xml:space="preserve"> for a nonsexual offense</w:t>
      </w:r>
      <w:r w:rsidRPr="001F11BE">
        <w:rPr>
          <w:rFonts w:ascii="Times New Roman" w:hAnsi="Times New Roman" w:cs="Times New Roman"/>
          <w:sz w:val="24"/>
          <w:szCs w:val="24"/>
        </w:rPr>
        <w:t xml:space="preserve"> occurred </w:t>
      </w:r>
      <w:r w:rsidRPr="001F11BE">
        <w:rPr>
          <w:rFonts w:ascii="Times New Roman" w:hAnsi="Times New Roman" w:cs="Times New Roman"/>
          <w:sz w:val="24"/>
          <w:szCs w:val="24"/>
          <w:u w:val="single"/>
        </w:rPr>
        <w:t>after</w:t>
      </w:r>
      <w:r w:rsidRPr="001F11BE">
        <w:rPr>
          <w:rFonts w:ascii="Times New Roman" w:hAnsi="Times New Roman" w:cs="Times New Roman"/>
          <w:sz w:val="24"/>
          <w:szCs w:val="24"/>
        </w:rPr>
        <w:t xml:space="preserve"> the offender’s index offense release date while the offender was residing in the community (cell E7).</w:t>
      </w:r>
      <w:r w:rsidR="00371AB1" w:rsidRPr="004826C0">
        <w:rPr>
          <w:rFonts w:ascii="Times New Roman" w:hAnsi="Times New Roman" w:cs="Times New Roman"/>
          <w:sz w:val="24"/>
          <w:szCs w:val="24"/>
        </w:rPr>
        <w:t xml:space="preserve">  </w:t>
      </w:r>
      <w:r w:rsidR="001F11BE" w:rsidRPr="004826C0">
        <w:rPr>
          <w:rFonts w:ascii="Times New Roman" w:hAnsi="Times New Roman" w:cs="Times New Roman"/>
          <w:sz w:val="24"/>
          <w:szCs w:val="24"/>
        </w:rPr>
        <w:t>The nonsexual offense must be a</w:t>
      </w:r>
      <w:r w:rsidR="001F11BE" w:rsidRPr="00E030B6">
        <w:rPr>
          <w:rFonts w:ascii="Times New Roman" w:hAnsi="Times New Roman" w:cs="Times New Roman"/>
          <w:sz w:val="24"/>
          <w:szCs w:val="24"/>
        </w:rPr>
        <w:t xml:space="preserve"> </w:t>
      </w:r>
      <w:r w:rsidR="001F11BE" w:rsidRPr="00983C45">
        <w:rPr>
          <w:rFonts w:ascii="Times New Roman" w:hAnsi="Times New Roman" w:cs="Times New Roman"/>
          <w:sz w:val="24"/>
          <w:szCs w:val="24"/>
        </w:rPr>
        <w:t>criminal offense (not a violation of conditions) that is sufficiently serious that the</w:t>
      </w:r>
      <w:r w:rsidR="001F11BE" w:rsidRPr="001F11BE">
        <w:rPr>
          <w:rFonts w:ascii="Times New Roman" w:hAnsi="Times New Roman" w:cs="Times New Roman"/>
          <w:sz w:val="24"/>
          <w:szCs w:val="24"/>
        </w:rPr>
        <w:t xml:space="preserve"> individual could potentially receive jail time or community supervision as a result.</w:t>
      </w:r>
      <w:r w:rsidR="001F11BE" w:rsidRPr="004826C0">
        <w:rPr>
          <w:rFonts w:ascii="Times New Roman" w:hAnsi="Times New Roman" w:cs="Times New Roman"/>
          <w:sz w:val="24"/>
          <w:szCs w:val="24"/>
        </w:rPr>
        <w:t xml:space="preserve"> Offenses that result in citations and would not result in possible jail time are not</w:t>
      </w:r>
      <w:r w:rsidR="001F11BE" w:rsidRPr="001F11BE">
        <w:rPr>
          <w:rFonts w:ascii="Times New Roman" w:hAnsi="Times New Roman" w:cs="Times New Roman"/>
          <w:sz w:val="24"/>
          <w:szCs w:val="24"/>
        </w:rPr>
        <w:t xml:space="preserve"> counted here (see the 2016 Static-99R Coding Manual for definitions of conviction;</w:t>
      </w:r>
      <w:r w:rsidR="001F11BE">
        <w:rPr>
          <w:rFonts w:ascii="Times New Roman" w:hAnsi="Times New Roman" w:cs="Times New Roman"/>
          <w:sz w:val="24"/>
          <w:szCs w:val="24"/>
        </w:rPr>
        <w:t xml:space="preserve"> </w:t>
      </w:r>
      <w:r w:rsidR="001F11BE" w:rsidRPr="001F11BE">
        <w:rPr>
          <w:rFonts w:ascii="Times New Roman" w:hAnsi="Times New Roman" w:cs="Times New Roman"/>
          <w:sz w:val="24"/>
          <w:szCs w:val="24"/>
        </w:rPr>
        <w:t>Phenix et al., 2017).</w:t>
      </w:r>
      <w:r w:rsidR="001F11BE">
        <w:rPr>
          <w:rFonts w:ascii="Times New Roman" w:hAnsi="Times New Roman" w:cs="Times New Roman"/>
          <w:sz w:val="24"/>
          <w:szCs w:val="24"/>
        </w:rPr>
        <w:t xml:space="preserve"> </w:t>
      </w:r>
      <w:r w:rsidRPr="001F11BE">
        <w:rPr>
          <w:rFonts w:ascii="Times New Roman" w:hAnsi="Times New Roman" w:cs="Times New Roman"/>
          <w:sz w:val="24"/>
          <w:szCs w:val="24"/>
        </w:rPr>
        <w:t xml:space="preserve">Use </w:t>
      </w:r>
      <w:r w:rsidR="00371AB1" w:rsidRPr="001F11BE">
        <w:rPr>
          <w:rFonts w:ascii="Times New Roman" w:hAnsi="Times New Roman" w:cs="Times New Roman"/>
          <w:sz w:val="24"/>
          <w:szCs w:val="24"/>
        </w:rPr>
        <w:t xml:space="preserve">of </w:t>
      </w:r>
      <w:r w:rsidRPr="001F11BE">
        <w:rPr>
          <w:rFonts w:ascii="Times New Roman" w:hAnsi="Times New Roman" w:cs="Times New Roman"/>
          <w:sz w:val="24"/>
          <w:szCs w:val="24"/>
        </w:rPr>
        <w:t xml:space="preserve">the drop-down data choices by clicking on the ▼button that appears when entering E7 is recommended.  You may also type in “Yes” or “No” but </w:t>
      </w:r>
      <w:r w:rsidR="00371AB1" w:rsidRPr="004826C0">
        <w:rPr>
          <w:rFonts w:ascii="Times New Roman" w:hAnsi="Times New Roman" w:cs="Times New Roman"/>
          <w:sz w:val="24"/>
          <w:szCs w:val="24"/>
        </w:rPr>
        <w:t xml:space="preserve">text input is </w:t>
      </w:r>
      <w:r w:rsidRPr="004826C0">
        <w:rPr>
          <w:rFonts w:ascii="Times New Roman" w:hAnsi="Times New Roman" w:cs="Times New Roman"/>
          <w:sz w:val="24"/>
          <w:szCs w:val="24"/>
        </w:rPr>
        <w:t>case sensitive</w:t>
      </w:r>
      <w:r w:rsidR="00371AB1" w:rsidRPr="00E030B6">
        <w:rPr>
          <w:rFonts w:ascii="Times New Roman" w:hAnsi="Times New Roman" w:cs="Times New Roman"/>
          <w:sz w:val="24"/>
          <w:szCs w:val="24"/>
        </w:rPr>
        <w:t xml:space="preserve">, so entries of </w:t>
      </w:r>
      <w:r w:rsidRPr="001F11BE">
        <w:rPr>
          <w:rFonts w:ascii="Times New Roman" w:hAnsi="Times New Roman" w:cs="Times New Roman"/>
          <w:sz w:val="24"/>
          <w:szCs w:val="24"/>
        </w:rPr>
        <w:t>“y</w:t>
      </w:r>
      <w:r w:rsidR="00371AB1" w:rsidRPr="001F11BE">
        <w:rPr>
          <w:rFonts w:ascii="Times New Roman" w:hAnsi="Times New Roman" w:cs="Times New Roman"/>
          <w:sz w:val="24"/>
          <w:szCs w:val="24"/>
        </w:rPr>
        <w:t>es” or “NO” are not valid</w:t>
      </w:r>
      <w:r w:rsidRPr="001F11BE">
        <w:rPr>
          <w:rFonts w:ascii="Times New Roman" w:hAnsi="Times New Roman" w:cs="Times New Roman"/>
          <w:sz w:val="24"/>
          <w:szCs w:val="24"/>
        </w:rPr>
        <w:t>.</w:t>
      </w:r>
    </w:p>
    <w:p w14:paraId="418A3217" w14:textId="6E571B14" w:rsidR="00DC576B" w:rsidRPr="00985693" w:rsidRDefault="00DC576B" w:rsidP="00DC576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An entry of “No” will apply a model that reduces the log-odds of risk for recidivating by .130 units for each year free in the community without reoffending sexually (Model 5 of Table 4 in Hanson, et al., 201</w:t>
      </w:r>
      <w:r w:rsidR="001F11BE">
        <w:rPr>
          <w:rFonts w:ascii="Times New Roman" w:hAnsi="Times New Roman" w:cs="Times New Roman"/>
          <w:sz w:val="24"/>
          <w:szCs w:val="24"/>
        </w:rPr>
        <w:t>8</w:t>
      </w:r>
      <w:r>
        <w:rPr>
          <w:rFonts w:ascii="Times New Roman" w:hAnsi="Times New Roman" w:cs="Times New Roman"/>
          <w:sz w:val="24"/>
          <w:szCs w:val="24"/>
        </w:rPr>
        <w:t>).</w:t>
      </w:r>
    </w:p>
    <w:p w14:paraId="6DB074B2" w14:textId="1EB6BBAA" w:rsidR="00DC576B" w:rsidRDefault="00DC576B" w:rsidP="00DC576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An entry of “Yes” will apply a model that reduces the log-odds of risk for recidivating by .135 units for each year free in the community without reoffending sexually.  The log-odds of risk for recidivating sexually will be increased by .440 units as of the year of the nonsexual offense (Model 6 of Table 5 in Hanson, et al., 201</w:t>
      </w:r>
      <w:r w:rsidR="001F11BE">
        <w:rPr>
          <w:rFonts w:ascii="Times New Roman" w:hAnsi="Times New Roman" w:cs="Times New Roman"/>
          <w:sz w:val="24"/>
          <w:szCs w:val="24"/>
        </w:rPr>
        <w:t>8</w:t>
      </w:r>
      <w:r>
        <w:rPr>
          <w:rFonts w:ascii="Times New Roman" w:hAnsi="Times New Roman" w:cs="Times New Roman"/>
          <w:sz w:val="24"/>
          <w:szCs w:val="24"/>
        </w:rPr>
        <w:t>).</w:t>
      </w:r>
    </w:p>
    <w:p w14:paraId="2579B06D" w14:textId="77777777" w:rsidR="00DC576B" w:rsidRDefault="00DC576B" w:rsidP="00DC576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Entering “Yes” in cell E7 will ask for the date of the first nonsexual offense to be entered in call E9.   The log-odds increase in risk for sexual reoffending will be applied beginning in the year of the first nonsexual offense. </w:t>
      </w:r>
    </w:p>
    <w:p w14:paraId="4871FE78" w14:textId="77777777" w:rsidR="00DC576B" w:rsidRDefault="00DC576B" w:rsidP="00DC576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date of a reported nonsexual offense </w:t>
      </w:r>
      <w:r>
        <w:rPr>
          <w:rFonts w:ascii="Times New Roman" w:hAnsi="Times New Roman" w:cs="Times New Roman"/>
          <w:sz w:val="24"/>
          <w:szCs w:val="24"/>
          <w:u w:val="single"/>
        </w:rPr>
        <w:t>must</w:t>
      </w:r>
      <w:r>
        <w:rPr>
          <w:rFonts w:ascii="Times New Roman" w:hAnsi="Times New Roman" w:cs="Times New Roman"/>
          <w:sz w:val="24"/>
          <w:szCs w:val="24"/>
        </w:rPr>
        <w:t xml:space="preserve"> be after the date of release for the index offense (cell E3) and before the current date. </w:t>
      </w:r>
    </w:p>
    <w:p w14:paraId="583C1643" w14:textId="77777777" w:rsidR="00DC576B" w:rsidRPr="00A17323" w:rsidRDefault="00DC576B" w:rsidP="00DC576B">
      <w:pPr>
        <w:pStyle w:val="ListParagraph"/>
        <w:spacing w:after="0" w:line="240" w:lineRule="auto"/>
        <w:rPr>
          <w:rFonts w:ascii="Times New Roman" w:hAnsi="Times New Roman" w:cs="Times New Roman"/>
          <w:sz w:val="24"/>
          <w:szCs w:val="24"/>
        </w:rPr>
      </w:pPr>
    </w:p>
    <w:p w14:paraId="142EEBEC" w14:textId="77777777" w:rsidR="00DC576B" w:rsidRDefault="00DC576B" w:rsidP="00DC576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Indicate whether or not the offender has been removed from the community for any period of time since release from their index offense (cell E11).  Removal of the individual from the community for any reason (e.g., revocation of probation, violation of supervision rules, jail or prison time for nonsexual offenses, etc.), means that the offender was not in the community, and thus not at risk to reoffend </w:t>
      </w:r>
      <w:r w:rsidR="002050C3">
        <w:rPr>
          <w:rFonts w:ascii="Times New Roman" w:hAnsi="Times New Roman" w:cs="Times New Roman"/>
          <w:sz w:val="24"/>
          <w:szCs w:val="24"/>
        </w:rPr>
        <w:t>sexually</w:t>
      </w:r>
      <w:r>
        <w:rPr>
          <w:rFonts w:ascii="Times New Roman" w:hAnsi="Times New Roman" w:cs="Times New Roman"/>
          <w:sz w:val="24"/>
          <w:szCs w:val="24"/>
        </w:rPr>
        <w:t xml:space="preserve">.  They cannot be </w:t>
      </w:r>
      <w:r>
        <w:rPr>
          <w:rFonts w:ascii="Times New Roman" w:hAnsi="Times New Roman" w:cs="Times New Roman"/>
          <w:sz w:val="24"/>
          <w:szCs w:val="24"/>
        </w:rPr>
        <w:lastRenderedPageBreak/>
        <w:t xml:space="preserve">given credit for refraining from reoffending while not in the community, so these periods must be removed from their accrual of time free in the community desisting from reoffending. </w:t>
      </w:r>
      <w:r w:rsidRPr="007055A6">
        <w:rPr>
          <w:rFonts w:ascii="Times New Roman" w:hAnsi="Times New Roman" w:cs="Times New Roman"/>
          <w:sz w:val="24"/>
          <w:szCs w:val="24"/>
        </w:rPr>
        <w:t xml:space="preserve"> </w:t>
      </w:r>
    </w:p>
    <w:p w14:paraId="671D7F91" w14:textId="77777777" w:rsidR="007A6381" w:rsidRDefault="00DC576B" w:rsidP="00DC576B">
      <w:pPr>
        <w:pStyle w:val="ListParagraph"/>
        <w:numPr>
          <w:ilvl w:val="1"/>
          <w:numId w:val="2"/>
        </w:numPr>
        <w:spacing w:after="0" w:line="240" w:lineRule="auto"/>
        <w:rPr>
          <w:rFonts w:ascii="Times New Roman" w:hAnsi="Times New Roman" w:cs="Times New Roman"/>
          <w:sz w:val="24"/>
          <w:szCs w:val="24"/>
        </w:rPr>
      </w:pPr>
      <w:r w:rsidRPr="007A6381">
        <w:rPr>
          <w:rFonts w:ascii="Times New Roman" w:hAnsi="Times New Roman" w:cs="Times New Roman"/>
          <w:sz w:val="24"/>
          <w:szCs w:val="24"/>
        </w:rPr>
        <w:t xml:space="preserve">Use of the drop-down data choices by clicking on the ▼button that appears when entering a response in E11 is recommended.  </w:t>
      </w:r>
      <w:r w:rsidR="007A6381" w:rsidRPr="00371AB1">
        <w:rPr>
          <w:rFonts w:ascii="Times New Roman" w:hAnsi="Times New Roman" w:cs="Times New Roman"/>
          <w:sz w:val="24"/>
          <w:szCs w:val="24"/>
        </w:rPr>
        <w:t xml:space="preserve">You may also type in “Yes” or “No” but </w:t>
      </w:r>
      <w:r w:rsidR="007A6381">
        <w:rPr>
          <w:rFonts w:ascii="Times New Roman" w:hAnsi="Times New Roman" w:cs="Times New Roman"/>
          <w:sz w:val="24"/>
          <w:szCs w:val="24"/>
        </w:rPr>
        <w:t xml:space="preserve">text input is </w:t>
      </w:r>
      <w:r w:rsidR="007A6381" w:rsidRPr="00371AB1">
        <w:rPr>
          <w:rFonts w:ascii="Times New Roman" w:hAnsi="Times New Roman" w:cs="Times New Roman"/>
          <w:sz w:val="24"/>
          <w:szCs w:val="24"/>
        </w:rPr>
        <w:t>case sensitive</w:t>
      </w:r>
      <w:r w:rsidR="007A6381">
        <w:rPr>
          <w:rFonts w:ascii="Times New Roman" w:hAnsi="Times New Roman" w:cs="Times New Roman"/>
          <w:sz w:val="24"/>
          <w:szCs w:val="24"/>
        </w:rPr>
        <w:t xml:space="preserve">, so entries of </w:t>
      </w:r>
      <w:r w:rsidR="007A6381" w:rsidRPr="00371AB1">
        <w:rPr>
          <w:rFonts w:ascii="Times New Roman" w:hAnsi="Times New Roman" w:cs="Times New Roman"/>
          <w:sz w:val="24"/>
          <w:szCs w:val="24"/>
        </w:rPr>
        <w:t>“y</w:t>
      </w:r>
      <w:r w:rsidR="007A6381">
        <w:rPr>
          <w:rFonts w:ascii="Times New Roman" w:hAnsi="Times New Roman" w:cs="Times New Roman"/>
          <w:sz w:val="24"/>
          <w:szCs w:val="24"/>
        </w:rPr>
        <w:t>es” or “NO” are not valid</w:t>
      </w:r>
      <w:r w:rsidR="007A6381" w:rsidRPr="00371AB1">
        <w:rPr>
          <w:rFonts w:ascii="Times New Roman" w:hAnsi="Times New Roman" w:cs="Times New Roman"/>
          <w:sz w:val="24"/>
          <w:szCs w:val="24"/>
        </w:rPr>
        <w:t>.</w:t>
      </w:r>
    </w:p>
    <w:p w14:paraId="71B3DEC6" w14:textId="77777777" w:rsidR="00DC576B" w:rsidRPr="007A6381" w:rsidRDefault="00DC576B" w:rsidP="00DC576B">
      <w:pPr>
        <w:pStyle w:val="ListParagraph"/>
        <w:numPr>
          <w:ilvl w:val="1"/>
          <w:numId w:val="2"/>
        </w:numPr>
        <w:spacing w:after="0" w:line="240" w:lineRule="auto"/>
        <w:rPr>
          <w:rFonts w:ascii="Times New Roman" w:hAnsi="Times New Roman" w:cs="Times New Roman"/>
          <w:sz w:val="24"/>
          <w:szCs w:val="24"/>
        </w:rPr>
      </w:pPr>
      <w:r w:rsidRPr="007A6381">
        <w:rPr>
          <w:rFonts w:ascii="Times New Roman" w:hAnsi="Times New Roman" w:cs="Times New Roman"/>
          <w:sz w:val="24"/>
          <w:szCs w:val="24"/>
        </w:rPr>
        <w:t xml:space="preserve">An entry of “No” will calculate the end of each year that is free from sexual re-offense for years 1 – 20 </w:t>
      </w:r>
      <w:r w:rsidR="007A6381">
        <w:rPr>
          <w:rFonts w:ascii="Times New Roman" w:hAnsi="Times New Roman" w:cs="Times New Roman"/>
          <w:sz w:val="24"/>
          <w:szCs w:val="24"/>
        </w:rPr>
        <w:t xml:space="preserve">(Column H) </w:t>
      </w:r>
      <w:r w:rsidRPr="007A6381">
        <w:rPr>
          <w:rFonts w:ascii="Times New Roman" w:hAnsi="Times New Roman" w:cs="Times New Roman"/>
          <w:sz w:val="24"/>
          <w:szCs w:val="24"/>
        </w:rPr>
        <w:t>as a continuous period starting on the date of release from the index offense (Column</w:t>
      </w:r>
      <w:r w:rsidR="007A6381">
        <w:rPr>
          <w:rFonts w:ascii="Times New Roman" w:hAnsi="Times New Roman" w:cs="Times New Roman"/>
          <w:sz w:val="24"/>
          <w:szCs w:val="24"/>
        </w:rPr>
        <w:t xml:space="preserve"> </w:t>
      </w:r>
      <w:r w:rsidRPr="007A6381">
        <w:rPr>
          <w:rFonts w:ascii="Times New Roman" w:hAnsi="Times New Roman" w:cs="Times New Roman"/>
          <w:sz w:val="24"/>
          <w:szCs w:val="24"/>
        </w:rPr>
        <w:t xml:space="preserve">I).  If the date of release was less than 20 years prior to the current date, the calculator will project the end of some years into the future.  </w:t>
      </w:r>
    </w:p>
    <w:p w14:paraId="1C7650DC" w14:textId="77777777" w:rsidR="00DC576B" w:rsidRPr="00205D91" w:rsidRDefault="00DC576B" w:rsidP="00DC576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entry of “Yes” in E11 will require you to indicate the number of times the individual has been removed from the community in cell E13.  Cell </w:t>
      </w:r>
      <w:r w:rsidR="007A6381">
        <w:rPr>
          <w:rFonts w:ascii="Times New Roman" w:hAnsi="Times New Roman" w:cs="Times New Roman"/>
          <w:sz w:val="24"/>
          <w:szCs w:val="24"/>
        </w:rPr>
        <w:t>E</w:t>
      </w:r>
      <w:r>
        <w:rPr>
          <w:rFonts w:ascii="Times New Roman" w:hAnsi="Times New Roman" w:cs="Times New Roman"/>
          <w:sz w:val="24"/>
          <w:szCs w:val="24"/>
        </w:rPr>
        <w:t>13 will accept any whole number greater than 0.</w:t>
      </w:r>
    </w:p>
    <w:p w14:paraId="0208D660" w14:textId="77777777" w:rsidR="00DC576B" w:rsidRPr="00A17323" w:rsidRDefault="00DC576B" w:rsidP="00DC576B">
      <w:pPr>
        <w:pStyle w:val="ListParagraph"/>
        <w:spacing w:after="0" w:line="240" w:lineRule="auto"/>
        <w:rPr>
          <w:rFonts w:ascii="Times New Roman" w:hAnsi="Times New Roman" w:cs="Times New Roman"/>
          <w:sz w:val="24"/>
          <w:szCs w:val="24"/>
        </w:rPr>
      </w:pPr>
    </w:p>
    <w:p w14:paraId="2814DB2C" w14:textId="77777777" w:rsidR="00DC576B" w:rsidRDefault="00DC576B" w:rsidP="00DC576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Entering a valid number into E13 wil</w:t>
      </w:r>
      <w:r w:rsidR="007A6381">
        <w:rPr>
          <w:rFonts w:ascii="Times New Roman" w:hAnsi="Times New Roman" w:cs="Times New Roman"/>
          <w:sz w:val="24"/>
          <w:szCs w:val="24"/>
        </w:rPr>
        <w:t xml:space="preserve">l produce a formatted table in Columns L – N to identify </w:t>
      </w:r>
      <w:r>
        <w:rPr>
          <w:rFonts w:ascii="Times New Roman" w:hAnsi="Times New Roman" w:cs="Times New Roman"/>
          <w:sz w:val="24"/>
          <w:szCs w:val="24"/>
        </w:rPr>
        <w:t xml:space="preserve">dates and duration of each </w:t>
      </w:r>
      <w:r w:rsidR="007A6381">
        <w:rPr>
          <w:rFonts w:ascii="Times New Roman" w:hAnsi="Times New Roman" w:cs="Times New Roman"/>
          <w:sz w:val="24"/>
          <w:szCs w:val="24"/>
        </w:rPr>
        <w:t>removal from the community</w:t>
      </w:r>
      <w:r>
        <w:rPr>
          <w:rFonts w:ascii="Times New Roman" w:hAnsi="Times New Roman" w:cs="Times New Roman"/>
          <w:sz w:val="24"/>
          <w:szCs w:val="24"/>
        </w:rPr>
        <w:t>. The end dates for complete years in the community remaining free of a sexual re-offense cannot be determined until the table is completed.</w:t>
      </w:r>
    </w:p>
    <w:p w14:paraId="4328E69A" w14:textId="38A4EA3D" w:rsidR="00DC576B" w:rsidRDefault="00DC576B" w:rsidP="00DC576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calculator will accept any number of removals from the community greater than 0</w:t>
      </w:r>
      <w:r w:rsidR="000A0DF8">
        <w:rPr>
          <w:rFonts w:ascii="Times New Roman" w:hAnsi="Times New Roman" w:cs="Times New Roman"/>
          <w:sz w:val="24"/>
          <w:szCs w:val="24"/>
        </w:rPr>
        <w:t>;</w:t>
      </w:r>
      <w:r>
        <w:rPr>
          <w:rFonts w:ascii="Times New Roman" w:hAnsi="Times New Roman" w:cs="Times New Roman"/>
          <w:sz w:val="24"/>
          <w:szCs w:val="24"/>
        </w:rPr>
        <w:t xml:space="preserve"> however</w:t>
      </w:r>
      <w:r w:rsidR="000A0DF8">
        <w:rPr>
          <w:rFonts w:ascii="Times New Roman" w:hAnsi="Times New Roman" w:cs="Times New Roman"/>
          <w:sz w:val="24"/>
          <w:szCs w:val="24"/>
        </w:rPr>
        <w:t>,</w:t>
      </w:r>
      <w:r>
        <w:rPr>
          <w:rFonts w:ascii="Times New Roman" w:hAnsi="Times New Roman" w:cs="Times New Roman"/>
          <w:sz w:val="24"/>
          <w:szCs w:val="24"/>
        </w:rPr>
        <w:t xml:space="preserve"> the table in columns L – N will only allow identification of a maximum of 10 such events.  </w:t>
      </w:r>
    </w:p>
    <w:p w14:paraId="13237498" w14:textId="77777777" w:rsidR="00DC576B" w:rsidRDefault="00DC576B" w:rsidP="00DC576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If the offender was removed from the community on more than 10 occasions, then the durations of all events after the 10</w:t>
      </w:r>
      <w:r w:rsidRPr="00366EB8">
        <w:rPr>
          <w:rFonts w:ascii="Times New Roman" w:hAnsi="Times New Roman" w:cs="Times New Roman"/>
          <w:sz w:val="24"/>
          <w:szCs w:val="24"/>
          <w:vertAlign w:val="superscript"/>
        </w:rPr>
        <w:t>th</w:t>
      </w:r>
      <w:r>
        <w:rPr>
          <w:rFonts w:ascii="Times New Roman" w:hAnsi="Times New Roman" w:cs="Times New Roman"/>
          <w:sz w:val="24"/>
          <w:szCs w:val="24"/>
        </w:rPr>
        <w:t xml:space="preserve"> event should be summed and added to the duration of the 10</w:t>
      </w:r>
      <w:r w:rsidRPr="00366EB8">
        <w:rPr>
          <w:rFonts w:ascii="Times New Roman" w:hAnsi="Times New Roman" w:cs="Times New Roman"/>
          <w:sz w:val="24"/>
          <w:szCs w:val="24"/>
          <w:vertAlign w:val="superscript"/>
        </w:rPr>
        <w:t>th</w:t>
      </w:r>
      <w:r>
        <w:rPr>
          <w:rFonts w:ascii="Times New Roman" w:hAnsi="Times New Roman" w:cs="Times New Roman"/>
          <w:sz w:val="24"/>
          <w:szCs w:val="24"/>
        </w:rPr>
        <w:t xml:space="preserve"> event. </w:t>
      </w:r>
    </w:p>
    <w:p w14:paraId="523CAC1B" w14:textId="77777777" w:rsidR="00DC576B" w:rsidRDefault="00DC576B" w:rsidP="00DC576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For each event/occasion that the offender was removed from the community, the date they were removed (Column M) and the duration of the removal in days (Column N) should be identified.</w:t>
      </w:r>
    </w:p>
    <w:p w14:paraId="7CA36D2F" w14:textId="77777777" w:rsidR="00DC576B" w:rsidRDefault="00DC576B" w:rsidP="00DC576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Two calculators are provided to assist in calculating the duration of events in days.  </w:t>
      </w:r>
    </w:p>
    <w:p w14:paraId="24A09B10" w14:textId="77777777" w:rsidR="00DC576B" w:rsidRDefault="00DC576B" w:rsidP="00DC576B">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Entry of two dates in cells P5 and R5 will display the duration in days between the dates in cell S5.  The date in cell R5 must be after the date in P5.</w:t>
      </w:r>
    </w:p>
    <w:p w14:paraId="4069795F" w14:textId="77777777" w:rsidR="00DC576B" w:rsidRDefault="00DC576B" w:rsidP="00DC576B">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Cells P8 – R8 will accept whole number inputs for durations of years, months, and weeks.  The durations across the different time units summed, in days, and displayed in cell S8.  Thus, an entry of 1 year and 6 months will display the same duration in days as an entry of 18 months, or 78 weeks.</w:t>
      </w:r>
    </w:p>
    <w:p w14:paraId="29621312" w14:textId="77777777" w:rsidR="00DC576B" w:rsidRDefault="00DC576B" w:rsidP="00DC576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Dates of removal from the community events must be after the index offense release date and must be after the re-entry dates of any prior removal events (Event removal date + removal duration days).</w:t>
      </w:r>
    </w:p>
    <w:p w14:paraId="3282600C" w14:textId="77777777" w:rsidR="00DC576B" w:rsidRDefault="00DC576B" w:rsidP="00DC576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Valid entries for the duration of community removal events must be whole numbers greater to or equal to zero.  </w:t>
      </w:r>
    </w:p>
    <w:p w14:paraId="4EAB8347" w14:textId="77777777" w:rsidR="00DC576B" w:rsidRPr="00A17323" w:rsidRDefault="00DC576B" w:rsidP="00DC576B">
      <w:pPr>
        <w:pStyle w:val="ListParagraph"/>
        <w:spacing w:after="0" w:line="240" w:lineRule="auto"/>
        <w:rPr>
          <w:rFonts w:ascii="Times New Roman" w:hAnsi="Times New Roman" w:cs="Times New Roman"/>
          <w:sz w:val="24"/>
          <w:szCs w:val="24"/>
        </w:rPr>
      </w:pPr>
    </w:p>
    <w:p w14:paraId="24D8093F" w14:textId="77777777" w:rsidR="00DC576B" w:rsidRDefault="00DC576B" w:rsidP="00DC576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Upon completion of all required inputs, the dates of the end of each full year of being free in the community without reoffending sexually sho</w:t>
      </w:r>
      <w:r w:rsidR="00D83954">
        <w:rPr>
          <w:rFonts w:ascii="Times New Roman" w:hAnsi="Times New Roman" w:cs="Times New Roman"/>
          <w:sz w:val="24"/>
          <w:szCs w:val="24"/>
        </w:rPr>
        <w:t>uld be display in rows 6 – 25 of</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column I.  </w:t>
      </w:r>
      <w:r w:rsidR="00D83954" w:rsidRPr="00D83954">
        <w:rPr>
          <w:rFonts w:ascii="Times New Roman" w:hAnsi="Times New Roman" w:cs="Times New Roman"/>
          <w:sz w:val="24"/>
          <w:szCs w:val="24"/>
          <w:u w:val="single"/>
        </w:rPr>
        <w:t>The row for any year that ended more than one year prior to the current date is blacked</w:t>
      </w:r>
      <w:r w:rsidR="002035CD">
        <w:rPr>
          <w:rFonts w:ascii="Times New Roman" w:hAnsi="Times New Roman" w:cs="Times New Roman"/>
          <w:sz w:val="24"/>
          <w:szCs w:val="24"/>
          <w:u w:val="single"/>
        </w:rPr>
        <w:t xml:space="preserve"> out</w:t>
      </w:r>
      <w:r w:rsidR="00D83954" w:rsidRPr="00D83954">
        <w:rPr>
          <w:rFonts w:ascii="Times New Roman" w:hAnsi="Times New Roman" w:cs="Times New Roman"/>
          <w:sz w:val="24"/>
          <w:szCs w:val="24"/>
          <w:u w:val="single"/>
        </w:rPr>
        <w:t>.</w:t>
      </w:r>
      <w:r w:rsidR="00D83954">
        <w:rPr>
          <w:rFonts w:ascii="Times New Roman" w:hAnsi="Times New Roman" w:cs="Times New Roman"/>
          <w:sz w:val="24"/>
          <w:szCs w:val="24"/>
        </w:rPr>
        <w:t xml:space="preserve"> </w:t>
      </w:r>
      <w:r>
        <w:rPr>
          <w:rFonts w:ascii="Times New Roman" w:hAnsi="Times New Roman" w:cs="Times New Roman"/>
          <w:sz w:val="24"/>
          <w:szCs w:val="24"/>
        </w:rPr>
        <w:t>Required inputs include:</w:t>
      </w:r>
    </w:p>
    <w:p w14:paraId="0EE7702F" w14:textId="77777777" w:rsidR="00DC576B" w:rsidRDefault="00DC576B" w:rsidP="00DC576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E3: Release date from index offense</w:t>
      </w:r>
    </w:p>
    <w:p w14:paraId="5FC77AB0" w14:textId="77777777" w:rsidR="00DC576B" w:rsidRDefault="00DC576B" w:rsidP="00DC576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E7: Negative or Positive for </w:t>
      </w:r>
      <w:r w:rsidR="00D83954" w:rsidRPr="00D83954">
        <w:rPr>
          <w:rFonts w:ascii="Times New Roman" w:hAnsi="Times New Roman" w:cs="Times New Roman"/>
          <w:sz w:val="24"/>
          <w:szCs w:val="24"/>
          <w:u w:val="single"/>
        </w:rPr>
        <w:t>conviction</w:t>
      </w:r>
      <w:r>
        <w:rPr>
          <w:rFonts w:ascii="Times New Roman" w:hAnsi="Times New Roman" w:cs="Times New Roman"/>
          <w:sz w:val="24"/>
          <w:szCs w:val="24"/>
        </w:rPr>
        <w:t xml:space="preserve"> of nonsexual offense after release</w:t>
      </w:r>
    </w:p>
    <w:p w14:paraId="02BA93F3" w14:textId="77777777" w:rsidR="00DC576B" w:rsidRDefault="00DC576B" w:rsidP="00DC576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E9</w:t>
      </w:r>
      <w:r w:rsidR="00D83954">
        <w:rPr>
          <w:rFonts w:ascii="Times New Roman" w:hAnsi="Times New Roman" w:cs="Times New Roman"/>
          <w:sz w:val="24"/>
          <w:szCs w:val="24"/>
        </w:rPr>
        <w:t>: I</w:t>
      </w:r>
      <w:r>
        <w:rPr>
          <w:rFonts w:ascii="Times New Roman" w:hAnsi="Times New Roman" w:cs="Times New Roman"/>
          <w:sz w:val="24"/>
          <w:szCs w:val="24"/>
        </w:rPr>
        <w:t>f E7 is positive</w:t>
      </w:r>
      <w:r w:rsidR="00D83954">
        <w:rPr>
          <w:rFonts w:ascii="Times New Roman" w:hAnsi="Times New Roman" w:cs="Times New Roman"/>
          <w:sz w:val="24"/>
          <w:szCs w:val="24"/>
        </w:rPr>
        <w:t>, d</w:t>
      </w:r>
      <w:r>
        <w:rPr>
          <w:rFonts w:ascii="Times New Roman" w:hAnsi="Times New Roman" w:cs="Times New Roman"/>
          <w:sz w:val="24"/>
          <w:szCs w:val="24"/>
        </w:rPr>
        <w:t xml:space="preserve">ate of first nonsexual offense </w:t>
      </w:r>
      <w:r w:rsidR="00D83954">
        <w:rPr>
          <w:rFonts w:ascii="Times New Roman" w:hAnsi="Times New Roman" w:cs="Times New Roman"/>
          <w:sz w:val="24"/>
          <w:szCs w:val="24"/>
        </w:rPr>
        <w:t>conviction</w:t>
      </w:r>
      <w:r w:rsidR="002035CD">
        <w:rPr>
          <w:rFonts w:ascii="Times New Roman" w:hAnsi="Times New Roman" w:cs="Times New Roman"/>
          <w:sz w:val="24"/>
          <w:szCs w:val="24"/>
        </w:rPr>
        <w:t xml:space="preserve"> </w:t>
      </w:r>
      <w:r>
        <w:rPr>
          <w:rFonts w:ascii="Times New Roman" w:hAnsi="Times New Roman" w:cs="Times New Roman"/>
          <w:sz w:val="24"/>
          <w:szCs w:val="24"/>
        </w:rPr>
        <w:t>after release</w:t>
      </w:r>
    </w:p>
    <w:p w14:paraId="4ACA74DE" w14:textId="77777777" w:rsidR="00DC576B" w:rsidRDefault="00DC576B" w:rsidP="00DC576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E9: Negative or Positive for periods of removal from community after release</w:t>
      </w:r>
    </w:p>
    <w:p w14:paraId="53F24D34" w14:textId="77777777" w:rsidR="00DC576B" w:rsidRDefault="00DC576B" w:rsidP="00DC576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E13</w:t>
      </w:r>
      <w:r w:rsidR="00D83954">
        <w:rPr>
          <w:rFonts w:ascii="Times New Roman" w:hAnsi="Times New Roman" w:cs="Times New Roman"/>
          <w:sz w:val="24"/>
          <w:szCs w:val="24"/>
        </w:rPr>
        <w:t>: I</w:t>
      </w:r>
      <w:r>
        <w:rPr>
          <w:rFonts w:ascii="Times New Roman" w:hAnsi="Times New Roman" w:cs="Times New Roman"/>
          <w:sz w:val="24"/>
          <w:szCs w:val="24"/>
        </w:rPr>
        <w:t>f E9 is positive</w:t>
      </w:r>
      <w:r w:rsidR="00D83954">
        <w:rPr>
          <w:rFonts w:ascii="Times New Roman" w:hAnsi="Times New Roman" w:cs="Times New Roman"/>
          <w:sz w:val="24"/>
          <w:szCs w:val="24"/>
        </w:rPr>
        <w:t>, n</w:t>
      </w:r>
      <w:r>
        <w:rPr>
          <w:rFonts w:ascii="Times New Roman" w:hAnsi="Times New Roman" w:cs="Times New Roman"/>
          <w:sz w:val="24"/>
          <w:szCs w:val="24"/>
        </w:rPr>
        <w:t>umber of times the offender was removed from the community</w:t>
      </w:r>
    </w:p>
    <w:p w14:paraId="1188AB98" w14:textId="77777777" w:rsidR="00DC576B" w:rsidRDefault="00DC576B" w:rsidP="00DC576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Dates of removals and duration in days for each occasion</w:t>
      </w:r>
      <w:r w:rsidR="00D83954">
        <w:rPr>
          <w:rFonts w:ascii="Times New Roman" w:hAnsi="Times New Roman" w:cs="Times New Roman"/>
          <w:sz w:val="24"/>
          <w:szCs w:val="24"/>
        </w:rPr>
        <w:t xml:space="preserve"> (Columns M and N, Rows 4 – 13)</w:t>
      </w:r>
      <w:r>
        <w:rPr>
          <w:rFonts w:ascii="Times New Roman" w:hAnsi="Times New Roman" w:cs="Times New Roman"/>
          <w:sz w:val="24"/>
          <w:szCs w:val="24"/>
        </w:rPr>
        <w:t xml:space="preserve">  </w:t>
      </w:r>
    </w:p>
    <w:p w14:paraId="432BA8AE" w14:textId="77777777" w:rsidR="00DC576B" w:rsidRPr="00A17323" w:rsidRDefault="00DC576B" w:rsidP="00DC576B">
      <w:pPr>
        <w:pStyle w:val="ListParagraph"/>
        <w:spacing w:after="0" w:line="240" w:lineRule="auto"/>
        <w:rPr>
          <w:rFonts w:ascii="Times New Roman" w:hAnsi="Times New Roman" w:cs="Times New Roman"/>
          <w:sz w:val="24"/>
          <w:szCs w:val="24"/>
        </w:rPr>
      </w:pPr>
    </w:p>
    <w:p w14:paraId="7CF2F978" w14:textId="77777777" w:rsidR="00DC576B" w:rsidRDefault="00DC576B" w:rsidP="00DC576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residual lifetime risk as of the current date is</w:t>
      </w:r>
      <w:r w:rsidR="00D83954">
        <w:rPr>
          <w:rFonts w:ascii="Times New Roman" w:hAnsi="Times New Roman" w:cs="Times New Roman"/>
          <w:sz w:val="24"/>
          <w:szCs w:val="24"/>
        </w:rPr>
        <w:t xml:space="preserve"> shown in J27</w:t>
      </w:r>
      <w:r>
        <w:rPr>
          <w:rFonts w:ascii="Times New Roman" w:hAnsi="Times New Roman" w:cs="Times New Roman"/>
          <w:sz w:val="24"/>
          <w:szCs w:val="24"/>
        </w:rPr>
        <w:t>.</w:t>
      </w:r>
    </w:p>
    <w:p w14:paraId="10595DC4" w14:textId="77777777" w:rsidR="00DC576B" w:rsidRDefault="00DC576B" w:rsidP="00DC576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Computation of the risk as of the current date is interpolated linearly using the percentage of the year completed with an ending date after the current date.</w:t>
      </w:r>
    </w:p>
    <w:p w14:paraId="71B0C452" w14:textId="77777777" w:rsidR="007C3780" w:rsidRDefault="007C3780" w:rsidP="007C3780">
      <w:pPr>
        <w:spacing w:after="0" w:line="240" w:lineRule="auto"/>
        <w:rPr>
          <w:rFonts w:ascii="Times New Roman" w:hAnsi="Times New Roman" w:cs="Times New Roman"/>
          <w:sz w:val="24"/>
          <w:szCs w:val="24"/>
        </w:rPr>
      </w:pPr>
    </w:p>
    <w:p w14:paraId="1B5F540A" w14:textId="77777777" w:rsidR="007C3780" w:rsidRDefault="007C3780" w:rsidP="007C3780">
      <w:pPr>
        <w:spacing w:after="0" w:line="240" w:lineRule="auto"/>
        <w:rPr>
          <w:rFonts w:ascii="Times New Roman" w:hAnsi="Times New Roman" w:cs="Times New Roman"/>
          <w:sz w:val="24"/>
          <w:szCs w:val="24"/>
        </w:rPr>
      </w:pPr>
    </w:p>
    <w:p w14:paraId="18298202" w14:textId="0D1D0A5A" w:rsidR="007C3780" w:rsidRDefault="007C3780" w:rsidP="007C378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Release dates in the future</w:t>
      </w:r>
    </w:p>
    <w:p w14:paraId="0905523D" w14:textId="77777777" w:rsidR="007C3780" w:rsidRDefault="007C3780" w:rsidP="007C3780">
      <w:pPr>
        <w:spacing w:after="0" w:line="240" w:lineRule="auto"/>
        <w:rPr>
          <w:rFonts w:ascii="Times New Roman" w:hAnsi="Times New Roman" w:cs="Times New Roman"/>
          <w:b/>
          <w:bCs/>
          <w:sz w:val="24"/>
          <w:szCs w:val="24"/>
        </w:rPr>
      </w:pPr>
    </w:p>
    <w:p w14:paraId="5F9928B0" w14:textId="2F53E224" w:rsidR="007C3780" w:rsidRDefault="007C3780" w:rsidP="007C37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783D02">
        <w:rPr>
          <w:rFonts w:ascii="Times New Roman" w:hAnsi="Times New Roman" w:cs="Times New Roman"/>
          <w:sz w:val="24"/>
          <w:szCs w:val="24"/>
          <w:u w:val="single"/>
        </w:rPr>
        <w:t>Release date from index sexual offence</w:t>
      </w:r>
      <w:r>
        <w:rPr>
          <w:rFonts w:ascii="Times New Roman" w:hAnsi="Times New Roman" w:cs="Times New Roman"/>
          <w:sz w:val="24"/>
          <w:szCs w:val="24"/>
        </w:rPr>
        <w:t xml:space="preserve">.  Evaluators may select a past, present, or future date for the at-risk date (E3).  Future dates may be helpful, for example, when an individual is currently serving a sentence for a sexual offence and has an anticipated release date. When using future dates, evaluators should be mindful </w:t>
      </w:r>
      <w:r w:rsidR="003773A7">
        <w:rPr>
          <w:rFonts w:ascii="Times New Roman" w:hAnsi="Times New Roman" w:cs="Times New Roman"/>
          <w:sz w:val="24"/>
          <w:szCs w:val="24"/>
        </w:rPr>
        <w:t xml:space="preserve">to ensure </w:t>
      </w:r>
      <w:r>
        <w:rPr>
          <w:rFonts w:ascii="Times New Roman" w:hAnsi="Times New Roman" w:cs="Times New Roman"/>
          <w:sz w:val="24"/>
          <w:szCs w:val="24"/>
        </w:rPr>
        <w:t xml:space="preserve">that the risk estimate is informed by the future date (e.g., using future age rather than current age).  </w:t>
      </w:r>
      <w:r w:rsidR="00361326">
        <w:rPr>
          <w:rFonts w:ascii="Times New Roman" w:hAnsi="Times New Roman" w:cs="Times New Roman"/>
          <w:sz w:val="24"/>
          <w:szCs w:val="24"/>
        </w:rPr>
        <w:t xml:space="preserve">The risk estimate for future dates will be the same as the risk estimate for today (all </w:t>
      </w:r>
      <w:r w:rsidR="003773A7">
        <w:rPr>
          <w:rFonts w:ascii="Times New Roman" w:hAnsi="Times New Roman" w:cs="Times New Roman"/>
          <w:sz w:val="24"/>
          <w:szCs w:val="24"/>
        </w:rPr>
        <w:t xml:space="preserve">future dates </w:t>
      </w:r>
      <w:r w:rsidR="00361326">
        <w:rPr>
          <w:rFonts w:ascii="Times New Roman" w:hAnsi="Times New Roman" w:cs="Times New Roman"/>
          <w:sz w:val="24"/>
          <w:szCs w:val="24"/>
        </w:rPr>
        <w:t xml:space="preserve">assume no time free in the community). </w:t>
      </w:r>
    </w:p>
    <w:p w14:paraId="6BEE8907" w14:textId="77777777" w:rsidR="007C3780" w:rsidRDefault="007C3780" w:rsidP="007C3780">
      <w:pPr>
        <w:spacing w:after="0" w:line="240" w:lineRule="auto"/>
        <w:rPr>
          <w:rFonts w:ascii="Times New Roman" w:hAnsi="Times New Roman" w:cs="Times New Roman"/>
          <w:sz w:val="24"/>
          <w:szCs w:val="24"/>
        </w:rPr>
      </w:pPr>
    </w:p>
    <w:p w14:paraId="1183ABDD" w14:textId="37DB5CE2" w:rsidR="007C3780" w:rsidRPr="00361326" w:rsidRDefault="007C3780" w:rsidP="007C37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783D02">
        <w:rPr>
          <w:rFonts w:ascii="Times New Roman" w:hAnsi="Times New Roman" w:cs="Times New Roman"/>
          <w:sz w:val="24"/>
          <w:szCs w:val="24"/>
          <w:u w:val="single"/>
        </w:rPr>
        <w:t>Release date from a nonsexual recidivism offence</w:t>
      </w:r>
      <w:r>
        <w:rPr>
          <w:rFonts w:ascii="Times New Roman" w:hAnsi="Times New Roman" w:cs="Times New Roman"/>
          <w:sz w:val="24"/>
          <w:szCs w:val="24"/>
        </w:rPr>
        <w:t xml:space="preserve">.  </w:t>
      </w:r>
      <w:r w:rsidR="00361326">
        <w:rPr>
          <w:rFonts w:ascii="Times New Roman" w:hAnsi="Times New Roman" w:cs="Times New Roman"/>
          <w:sz w:val="24"/>
          <w:szCs w:val="24"/>
        </w:rPr>
        <w:t xml:space="preserve">Evaluators </w:t>
      </w:r>
      <w:r w:rsidR="00361326" w:rsidRPr="00783D02">
        <w:rPr>
          <w:rFonts w:ascii="Times New Roman" w:hAnsi="Times New Roman" w:cs="Times New Roman"/>
          <w:b/>
          <w:bCs/>
          <w:sz w:val="24"/>
          <w:szCs w:val="24"/>
          <w:u w:val="single"/>
        </w:rPr>
        <w:t>cannot</w:t>
      </w:r>
      <w:r w:rsidR="00361326">
        <w:rPr>
          <w:rFonts w:ascii="Times New Roman" w:hAnsi="Times New Roman" w:cs="Times New Roman"/>
          <w:b/>
          <w:bCs/>
          <w:sz w:val="24"/>
          <w:szCs w:val="24"/>
        </w:rPr>
        <w:t xml:space="preserve"> </w:t>
      </w:r>
      <w:r w:rsidR="00361326">
        <w:rPr>
          <w:rFonts w:ascii="Times New Roman" w:hAnsi="Times New Roman" w:cs="Times New Roman"/>
          <w:sz w:val="24"/>
          <w:szCs w:val="24"/>
        </w:rPr>
        <w:t>use a future release date for individuals who are returned to custody for a nonsexual offence.  For such cases, the calculator does not provide valid estimates when the anticipated release date is in the future. Consequently, for individuals currently in custody</w:t>
      </w:r>
      <w:r w:rsidR="00783D02">
        <w:rPr>
          <w:rFonts w:ascii="Times New Roman" w:hAnsi="Times New Roman" w:cs="Times New Roman"/>
          <w:sz w:val="24"/>
          <w:szCs w:val="24"/>
        </w:rPr>
        <w:t xml:space="preserve"> for a nonsexual offence</w:t>
      </w:r>
      <w:r w:rsidR="00361326">
        <w:rPr>
          <w:rFonts w:ascii="Times New Roman" w:hAnsi="Times New Roman" w:cs="Times New Roman"/>
          <w:sz w:val="24"/>
          <w:szCs w:val="24"/>
        </w:rPr>
        <w:t xml:space="preserve">, use today’s date as the end date when calculating time (R5).  If evaluators are interested in the risk at a future date, </w:t>
      </w:r>
      <w:r w:rsidR="00A54166">
        <w:rPr>
          <w:rFonts w:ascii="Times New Roman" w:hAnsi="Times New Roman" w:cs="Times New Roman"/>
          <w:sz w:val="24"/>
          <w:szCs w:val="24"/>
        </w:rPr>
        <w:t xml:space="preserve">in Column N </w:t>
      </w:r>
      <w:r w:rsidR="00361326">
        <w:rPr>
          <w:rFonts w:ascii="Times New Roman" w:hAnsi="Times New Roman" w:cs="Times New Roman"/>
          <w:sz w:val="24"/>
          <w:szCs w:val="24"/>
        </w:rPr>
        <w:t xml:space="preserve">use only the duration (days) that the individual has currently served.  </w:t>
      </w:r>
      <w:r w:rsidR="00783D02">
        <w:rPr>
          <w:rFonts w:ascii="Times New Roman" w:hAnsi="Times New Roman" w:cs="Times New Roman"/>
          <w:sz w:val="24"/>
          <w:szCs w:val="24"/>
        </w:rPr>
        <w:t>Assuming that there are no changes in the risk and protective factors external to the calculator, the estimate for the future release date will be</w:t>
      </w:r>
      <w:r w:rsidR="00361326">
        <w:rPr>
          <w:rFonts w:ascii="Times New Roman" w:hAnsi="Times New Roman" w:cs="Times New Roman"/>
          <w:sz w:val="24"/>
          <w:szCs w:val="24"/>
        </w:rPr>
        <w:t xml:space="preserve"> the same as the risk estimate as of today</w:t>
      </w:r>
      <w:r w:rsidR="00783D02">
        <w:rPr>
          <w:rFonts w:ascii="Times New Roman" w:hAnsi="Times New Roman" w:cs="Times New Roman"/>
          <w:sz w:val="24"/>
          <w:szCs w:val="24"/>
        </w:rPr>
        <w:t xml:space="preserve"> because there w</w:t>
      </w:r>
      <w:r w:rsidR="00A54166">
        <w:rPr>
          <w:rFonts w:ascii="Times New Roman" w:hAnsi="Times New Roman" w:cs="Times New Roman"/>
          <w:sz w:val="24"/>
          <w:szCs w:val="24"/>
        </w:rPr>
        <w:t>ould</w:t>
      </w:r>
      <w:r w:rsidR="00783D02">
        <w:rPr>
          <w:rFonts w:ascii="Times New Roman" w:hAnsi="Times New Roman" w:cs="Times New Roman"/>
          <w:sz w:val="24"/>
          <w:szCs w:val="24"/>
        </w:rPr>
        <w:t xml:space="preserve"> be no </w:t>
      </w:r>
      <w:r w:rsidR="00A54166">
        <w:rPr>
          <w:rFonts w:ascii="Times New Roman" w:hAnsi="Times New Roman" w:cs="Times New Roman"/>
          <w:sz w:val="24"/>
          <w:szCs w:val="24"/>
        </w:rPr>
        <w:t>additional</w:t>
      </w:r>
      <w:r w:rsidR="00783D02">
        <w:rPr>
          <w:rFonts w:ascii="Times New Roman" w:hAnsi="Times New Roman" w:cs="Times New Roman"/>
          <w:sz w:val="24"/>
          <w:szCs w:val="24"/>
        </w:rPr>
        <w:t xml:space="preserve"> time</w:t>
      </w:r>
      <w:r w:rsidR="003773A7">
        <w:rPr>
          <w:rFonts w:ascii="Times New Roman" w:hAnsi="Times New Roman" w:cs="Times New Roman"/>
          <w:sz w:val="24"/>
          <w:szCs w:val="24"/>
        </w:rPr>
        <w:t xml:space="preserve"> </w:t>
      </w:r>
      <w:r w:rsidR="00783D02">
        <w:rPr>
          <w:rFonts w:ascii="Times New Roman" w:hAnsi="Times New Roman" w:cs="Times New Roman"/>
          <w:sz w:val="24"/>
          <w:szCs w:val="24"/>
        </w:rPr>
        <w:t>free</w:t>
      </w:r>
      <w:r w:rsidR="003773A7">
        <w:rPr>
          <w:rFonts w:ascii="Times New Roman" w:hAnsi="Times New Roman" w:cs="Times New Roman"/>
          <w:sz w:val="24"/>
          <w:szCs w:val="24"/>
        </w:rPr>
        <w:t xml:space="preserve"> in the community</w:t>
      </w:r>
      <w:r w:rsidR="00783D02">
        <w:rPr>
          <w:rFonts w:ascii="Times New Roman" w:hAnsi="Times New Roman" w:cs="Times New Roman"/>
          <w:sz w:val="24"/>
          <w:szCs w:val="24"/>
        </w:rPr>
        <w:t xml:space="preserve">.  </w:t>
      </w:r>
      <w:r w:rsidR="00361326">
        <w:rPr>
          <w:rFonts w:ascii="Times New Roman" w:hAnsi="Times New Roman" w:cs="Times New Roman"/>
          <w:sz w:val="24"/>
          <w:szCs w:val="24"/>
        </w:rPr>
        <w:t xml:space="preserve">  </w:t>
      </w:r>
    </w:p>
    <w:p w14:paraId="788F8C5C" w14:textId="77777777" w:rsidR="007C3780" w:rsidRPr="007C3780" w:rsidRDefault="007C3780" w:rsidP="007C3780">
      <w:pPr>
        <w:spacing w:after="0" w:line="240" w:lineRule="auto"/>
        <w:rPr>
          <w:rFonts w:ascii="Times New Roman" w:hAnsi="Times New Roman" w:cs="Times New Roman"/>
          <w:sz w:val="24"/>
          <w:szCs w:val="24"/>
        </w:rPr>
      </w:pPr>
    </w:p>
    <w:p w14:paraId="4F6EF4B4" w14:textId="77777777" w:rsidR="00DC576B" w:rsidRDefault="00DC576B" w:rsidP="00DC576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EAE88AF" w14:textId="77777777" w:rsidR="00526946" w:rsidRDefault="00526946" w:rsidP="00FF092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How the calculator works</w:t>
      </w:r>
    </w:p>
    <w:p w14:paraId="38BEA5F9" w14:textId="77777777" w:rsidR="00816B52" w:rsidRDefault="003961C6"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The calculator for estimating reductions in recidivism risk based on time free in the community without reoffending is founded on statistical methods used for life table survival analysis</w:t>
      </w:r>
      <w:r w:rsidR="00F31FF7">
        <w:rPr>
          <w:rFonts w:ascii="Times New Roman" w:hAnsi="Times New Roman" w:cs="Times New Roman"/>
          <w:sz w:val="24"/>
          <w:szCs w:val="24"/>
        </w:rPr>
        <w:t xml:space="preserve"> (</w:t>
      </w:r>
      <w:r w:rsidR="00CF7D21" w:rsidRPr="00D05492">
        <w:rPr>
          <w:rFonts w:ascii="Times New Roman" w:hAnsi="Times New Roman" w:cs="Times New Roman"/>
          <w:sz w:val="24"/>
          <w:szCs w:val="24"/>
        </w:rPr>
        <w:t>Singer &amp; Willet, 2003, Chapter 10</w:t>
      </w:r>
      <w:r w:rsidR="00F31FF7">
        <w:rPr>
          <w:rFonts w:ascii="Times New Roman" w:hAnsi="Times New Roman" w:cs="Times New Roman"/>
          <w:sz w:val="24"/>
          <w:szCs w:val="24"/>
        </w:rPr>
        <w:t>)</w:t>
      </w:r>
      <w:r>
        <w:rPr>
          <w:rFonts w:ascii="Times New Roman" w:hAnsi="Times New Roman" w:cs="Times New Roman"/>
          <w:sz w:val="24"/>
          <w:szCs w:val="24"/>
        </w:rPr>
        <w:t>.</w:t>
      </w:r>
      <w:r w:rsidR="003C6E19">
        <w:rPr>
          <w:rFonts w:ascii="Times New Roman" w:hAnsi="Times New Roman" w:cs="Times New Roman"/>
          <w:sz w:val="24"/>
          <w:szCs w:val="24"/>
        </w:rPr>
        <w:t xml:space="preserve">  The approach estimates </w:t>
      </w:r>
      <w:r w:rsidR="0028115E">
        <w:rPr>
          <w:rFonts w:ascii="Times New Roman" w:hAnsi="Times New Roman" w:cs="Times New Roman"/>
          <w:sz w:val="24"/>
          <w:szCs w:val="24"/>
        </w:rPr>
        <w:t>recidivism rates for</w:t>
      </w:r>
      <w:r w:rsidR="003C6E19">
        <w:rPr>
          <w:rFonts w:ascii="Times New Roman" w:hAnsi="Times New Roman" w:cs="Times New Roman"/>
          <w:sz w:val="24"/>
          <w:szCs w:val="24"/>
        </w:rPr>
        <w:t xml:space="preserve"> discrete </w:t>
      </w:r>
      <w:r w:rsidR="0028115E">
        <w:rPr>
          <w:rFonts w:ascii="Times New Roman" w:hAnsi="Times New Roman" w:cs="Times New Roman"/>
          <w:sz w:val="24"/>
          <w:szCs w:val="24"/>
        </w:rPr>
        <w:t xml:space="preserve">periods of </w:t>
      </w:r>
      <w:r w:rsidR="003C6E19">
        <w:rPr>
          <w:rFonts w:ascii="Times New Roman" w:hAnsi="Times New Roman" w:cs="Times New Roman"/>
          <w:sz w:val="24"/>
          <w:szCs w:val="24"/>
        </w:rPr>
        <w:t xml:space="preserve">time </w:t>
      </w:r>
      <w:r w:rsidR="0028115E">
        <w:rPr>
          <w:rFonts w:ascii="Times New Roman" w:hAnsi="Times New Roman" w:cs="Times New Roman"/>
          <w:sz w:val="24"/>
          <w:szCs w:val="24"/>
        </w:rPr>
        <w:t>based on the proportion of individuals who r</w:t>
      </w:r>
      <w:r w:rsidR="00F31FF7">
        <w:rPr>
          <w:rFonts w:ascii="Times New Roman" w:hAnsi="Times New Roman" w:cs="Times New Roman"/>
          <w:sz w:val="24"/>
          <w:szCs w:val="24"/>
        </w:rPr>
        <w:t>eoffend during a given interval</w:t>
      </w:r>
      <w:r w:rsidR="008B7460">
        <w:rPr>
          <w:rFonts w:ascii="Times New Roman" w:hAnsi="Times New Roman" w:cs="Times New Roman"/>
          <w:sz w:val="24"/>
          <w:szCs w:val="24"/>
        </w:rPr>
        <w:t>,</w:t>
      </w:r>
      <w:r w:rsidR="00F31FF7">
        <w:rPr>
          <w:rFonts w:ascii="Times New Roman" w:hAnsi="Times New Roman" w:cs="Times New Roman"/>
          <w:sz w:val="24"/>
          <w:szCs w:val="24"/>
        </w:rPr>
        <w:t xml:space="preserve"> </w:t>
      </w:r>
      <w:r w:rsidR="0028115E">
        <w:rPr>
          <w:rFonts w:ascii="Times New Roman" w:hAnsi="Times New Roman" w:cs="Times New Roman"/>
          <w:sz w:val="24"/>
          <w:szCs w:val="24"/>
        </w:rPr>
        <w:t xml:space="preserve">divided by the total number of individuals “at risk” for reoffending during that interval.  This </w:t>
      </w:r>
      <w:r w:rsidR="00453B5E">
        <w:rPr>
          <w:rFonts w:ascii="Times New Roman" w:hAnsi="Times New Roman" w:cs="Times New Roman"/>
          <w:sz w:val="24"/>
          <w:szCs w:val="24"/>
        </w:rPr>
        <w:t>“hazard rate”</w:t>
      </w:r>
      <w:r w:rsidR="0028115E">
        <w:rPr>
          <w:rFonts w:ascii="Times New Roman" w:hAnsi="Times New Roman" w:cs="Times New Roman"/>
          <w:sz w:val="24"/>
          <w:szCs w:val="24"/>
        </w:rPr>
        <w:t xml:space="preserve"> </w:t>
      </w:r>
      <w:r w:rsidR="00453B5E">
        <w:rPr>
          <w:rFonts w:ascii="Times New Roman" w:hAnsi="Times New Roman" w:cs="Times New Roman"/>
          <w:sz w:val="24"/>
          <w:szCs w:val="24"/>
        </w:rPr>
        <w:t>(</w:t>
      </w:r>
      <w:r w:rsidR="00816B52">
        <w:rPr>
          <w:rFonts w:ascii="Times New Roman" w:hAnsi="Times New Roman" w:cs="Times New Roman"/>
          <w:sz w:val="24"/>
          <w:szCs w:val="24"/>
        </w:rPr>
        <w:t>number</w:t>
      </w:r>
      <w:r w:rsidR="00453B5E">
        <w:rPr>
          <w:rFonts w:ascii="Times New Roman" w:hAnsi="Times New Roman" w:cs="Times New Roman"/>
          <w:sz w:val="24"/>
          <w:szCs w:val="24"/>
        </w:rPr>
        <w:t xml:space="preserve"> reoffending/</w:t>
      </w:r>
      <w:r w:rsidR="00816B52">
        <w:rPr>
          <w:rFonts w:ascii="Times New Roman" w:hAnsi="Times New Roman" w:cs="Times New Roman"/>
          <w:sz w:val="24"/>
          <w:szCs w:val="24"/>
        </w:rPr>
        <w:t>t</w:t>
      </w:r>
      <w:r w:rsidR="00453B5E">
        <w:rPr>
          <w:rFonts w:ascii="Times New Roman" w:hAnsi="Times New Roman" w:cs="Times New Roman"/>
          <w:sz w:val="24"/>
          <w:szCs w:val="24"/>
        </w:rPr>
        <w:t xml:space="preserve">otal </w:t>
      </w:r>
      <w:r w:rsidR="00816B52">
        <w:rPr>
          <w:rFonts w:ascii="Times New Roman" w:hAnsi="Times New Roman" w:cs="Times New Roman"/>
          <w:sz w:val="24"/>
          <w:szCs w:val="24"/>
        </w:rPr>
        <w:t xml:space="preserve">persons </w:t>
      </w:r>
      <w:r w:rsidR="00453B5E">
        <w:rPr>
          <w:rFonts w:ascii="Times New Roman" w:hAnsi="Times New Roman" w:cs="Times New Roman"/>
          <w:sz w:val="24"/>
          <w:szCs w:val="24"/>
        </w:rPr>
        <w:t>at risk</w:t>
      </w:r>
      <w:r w:rsidR="00816B52">
        <w:rPr>
          <w:rFonts w:ascii="Times New Roman" w:hAnsi="Times New Roman" w:cs="Times New Roman"/>
          <w:sz w:val="24"/>
          <w:szCs w:val="24"/>
        </w:rPr>
        <w:t xml:space="preserve"> to reoffend</w:t>
      </w:r>
      <w:r w:rsidR="00453B5E">
        <w:rPr>
          <w:rFonts w:ascii="Times New Roman" w:hAnsi="Times New Roman" w:cs="Times New Roman"/>
          <w:sz w:val="24"/>
          <w:szCs w:val="24"/>
        </w:rPr>
        <w:t>)</w:t>
      </w:r>
      <w:r w:rsidR="003C6E19">
        <w:rPr>
          <w:rFonts w:ascii="Times New Roman" w:hAnsi="Times New Roman" w:cs="Times New Roman"/>
          <w:sz w:val="24"/>
          <w:szCs w:val="24"/>
        </w:rPr>
        <w:t xml:space="preserve"> </w:t>
      </w:r>
      <w:r w:rsidR="00453B5E">
        <w:rPr>
          <w:rFonts w:ascii="Times New Roman" w:hAnsi="Times New Roman" w:cs="Times New Roman"/>
          <w:sz w:val="24"/>
          <w:szCs w:val="24"/>
        </w:rPr>
        <w:t xml:space="preserve">is used to </w:t>
      </w:r>
      <w:r w:rsidR="002110EC">
        <w:rPr>
          <w:rFonts w:ascii="Times New Roman" w:hAnsi="Times New Roman" w:cs="Times New Roman"/>
          <w:sz w:val="24"/>
          <w:szCs w:val="24"/>
        </w:rPr>
        <w:t xml:space="preserve">estimate how many individuals are removed from the population of interest during a particular interval (i.e., </w:t>
      </w:r>
      <w:r w:rsidR="00DE6046">
        <w:rPr>
          <w:rFonts w:ascii="Times New Roman" w:hAnsi="Times New Roman" w:cs="Times New Roman"/>
          <w:sz w:val="24"/>
          <w:szCs w:val="24"/>
        </w:rPr>
        <w:t xml:space="preserve">how many </w:t>
      </w:r>
      <w:r w:rsidR="002110EC">
        <w:rPr>
          <w:rFonts w:ascii="Times New Roman" w:hAnsi="Times New Roman" w:cs="Times New Roman"/>
          <w:sz w:val="24"/>
          <w:szCs w:val="24"/>
        </w:rPr>
        <w:t>recidivate</w:t>
      </w:r>
      <w:r w:rsidR="00816B52">
        <w:rPr>
          <w:rFonts w:ascii="Times New Roman" w:hAnsi="Times New Roman" w:cs="Times New Roman"/>
          <w:sz w:val="24"/>
          <w:szCs w:val="24"/>
        </w:rPr>
        <w:t xml:space="preserve"> in a given year</w:t>
      </w:r>
      <w:r w:rsidR="002110EC">
        <w:rPr>
          <w:rFonts w:ascii="Times New Roman" w:hAnsi="Times New Roman" w:cs="Times New Roman"/>
          <w:sz w:val="24"/>
          <w:szCs w:val="24"/>
        </w:rPr>
        <w:t>) and how many “survive” to the next discrete time interval.</w:t>
      </w:r>
    </w:p>
    <w:p w14:paraId="04F219CD" w14:textId="77777777" w:rsidR="00985693" w:rsidRDefault="00985693" w:rsidP="00FF0924">
      <w:pPr>
        <w:spacing w:after="0" w:line="240" w:lineRule="auto"/>
        <w:rPr>
          <w:rFonts w:ascii="Times New Roman" w:hAnsi="Times New Roman" w:cs="Times New Roman"/>
          <w:sz w:val="24"/>
          <w:szCs w:val="24"/>
        </w:rPr>
      </w:pPr>
    </w:p>
    <w:p w14:paraId="56D486DE" w14:textId="77777777" w:rsidR="00816B52" w:rsidRDefault="00816B52"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Several basic assumptions </w:t>
      </w:r>
      <w:r w:rsidR="00F31FF7">
        <w:rPr>
          <w:rFonts w:ascii="Times New Roman" w:hAnsi="Times New Roman" w:cs="Times New Roman"/>
          <w:sz w:val="24"/>
          <w:szCs w:val="24"/>
        </w:rPr>
        <w:t xml:space="preserve">are made </w:t>
      </w:r>
      <w:r>
        <w:rPr>
          <w:rFonts w:ascii="Times New Roman" w:hAnsi="Times New Roman" w:cs="Times New Roman"/>
          <w:sz w:val="24"/>
          <w:szCs w:val="24"/>
        </w:rPr>
        <w:t>about how risk for recidivating changes over time as time free in the community with</w:t>
      </w:r>
      <w:r w:rsidR="00CF7D21">
        <w:rPr>
          <w:rFonts w:ascii="Times New Roman" w:hAnsi="Times New Roman" w:cs="Times New Roman"/>
          <w:sz w:val="24"/>
          <w:szCs w:val="24"/>
        </w:rPr>
        <w:t>out</w:t>
      </w:r>
      <w:r>
        <w:rPr>
          <w:rFonts w:ascii="Times New Roman" w:hAnsi="Times New Roman" w:cs="Times New Roman"/>
          <w:sz w:val="24"/>
          <w:szCs w:val="24"/>
        </w:rPr>
        <w:t xml:space="preserve"> reoffending </w:t>
      </w:r>
      <w:r w:rsidR="00F31FF7">
        <w:rPr>
          <w:rFonts w:ascii="Times New Roman" w:hAnsi="Times New Roman" w:cs="Times New Roman"/>
          <w:sz w:val="24"/>
          <w:szCs w:val="24"/>
        </w:rPr>
        <w:t xml:space="preserve">sexually </w:t>
      </w:r>
      <w:r>
        <w:rPr>
          <w:rFonts w:ascii="Times New Roman" w:hAnsi="Times New Roman" w:cs="Times New Roman"/>
          <w:sz w:val="24"/>
          <w:szCs w:val="24"/>
        </w:rPr>
        <w:t>accumulates. These include:</w:t>
      </w:r>
    </w:p>
    <w:p w14:paraId="3246D1BC" w14:textId="29BB0313" w:rsidR="00341AD8" w:rsidRDefault="00816B52" w:rsidP="00FF0924">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log odds of the hazard rate </w:t>
      </w:r>
      <w:r w:rsidR="00341AD8">
        <w:rPr>
          <w:rFonts w:ascii="Times New Roman" w:hAnsi="Times New Roman" w:cs="Times New Roman"/>
          <w:sz w:val="24"/>
          <w:szCs w:val="24"/>
        </w:rPr>
        <w:t xml:space="preserve">to reoffend in any given year </w:t>
      </w:r>
      <w:r>
        <w:rPr>
          <w:rFonts w:ascii="Times New Roman" w:hAnsi="Times New Roman" w:cs="Times New Roman"/>
          <w:sz w:val="24"/>
          <w:szCs w:val="24"/>
        </w:rPr>
        <w:t xml:space="preserve">for </w:t>
      </w:r>
      <w:r w:rsidR="00E51C6F">
        <w:rPr>
          <w:rFonts w:ascii="Times New Roman" w:hAnsi="Times New Roman" w:cs="Times New Roman"/>
          <w:sz w:val="24"/>
          <w:szCs w:val="24"/>
        </w:rPr>
        <w:t>individual</w:t>
      </w:r>
      <w:r w:rsidR="00341AD8">
        <w:rPr>
          <w:rFonts w:ascii="Times New Roman" w:hAnsi="Times New Roman" w:cs="Times New Roman"/>
          <w:sz w:val="24"/>
          <w:szCs w:val="24"/>
        </w:rPr>
        <w:t>s</w:t>
      </w:r>
      <w:r w:rsidR="00E51C6F">
        <w:rPr>
          <w:rFonts w:ascii="Times New Roman" w:hAnsi="Times New Roman" w:cs="Times New Roman"/>
          <w:sz w:val="24"/>
          <w:szCs w:val="24"/>
        </w:rPr>
        <w:t xml:space="preserve"> </w:t>
      </w:r>
      <w:r w:rsidR="00341AD8">
        <w:rPr>
          <w:rFonts w:ascii="Times New Roman" w:hAnsi="Times New Roman" w:cs="Times New Roman"/>
          <w:sz w:val="24"/>
          <w:szCs w:val="24"/>
        </w:rPr>
        <w:t xml:space="preserve">who do not have a nonsexual offense after release from their index offense </w:t>
      </w:r>
      <w:r w:rsidR="00E51C6F">
        <w:rPr>
          <w:rFonts w:ascii="Times New Roman" w:hAnsi="Times New Roman" w:cs="Times New Roman"/>
          <w:sz w:val="24"/>
          <w:szCs w:val="24"/>
        </w:rPr>
        <w:t xml:space="preserve">is </w:t>
      </w:r>
      <w:r w:rsidR="00341AD8">
        <w:rPr>
          <w:rFonts w:ascii="Times New Roman" w:hAnsi="Times New Roman" w:cs="Times New Roman"/>
          <w:sz w:val="24"/>
          <w:szCs w:val="24"/>
        </w:rPr>
        <w:t xml:space="preserve">reduced by .130 log units for each year they </w:t>
      </w:r>
      <w:r w:rsidR="00F31FF7">
        <w:rPr>
          <w:rFonts w:ascii="Times New Roman" w:hAnsi="Times New Roman" w:cs="Times New Roman"/>
          <w:sz w:val="24"/>
          <w:szCs w:val="24"/>
        </w:rPr>
        <w:t>remain in the free in the community without sexually reoffending</w:t>
      </w:r>
      <w:r w:rsidR="00341AD8">
        <w:rPr>
          <w:rFonts w:ascii="Times New Roman" w:hAnsi="Times New Roman" w:cs="Times New Roman"/>
          <w:sz w:val="24"/>
          <w:szCs w:val="24"/>
        </w:rPr>
        <w:t xml:space="preserve">.  This estimate is taken from analyses </w:t>
      </w:r>
      <w:r w:rsidR="00F31FF7">
        <w:rPr>
          <w:rFonts w:ascii="Times New Roman" w:hAnsi="Times New Roman" w:cs="Times New Roman"/>
          <w:sz w:val="24"/>
          <w:szCs w:val="24"/>
        </w:rPr>
        <w:t xml:space="preserve">described and </w:t>
      </w:r>
      <w:r w:rsidR="00341AD8">
        <w:rPr>
          <w:rFonts w:ascii="Times New Roman" w:hAnsi="Times New Roman" w:cs="Times New Roman"/>
          <w:sz w:val="24"/>
          <w:szCs w:val="24"/>
        </w:rPr>
        <w:t>reported in Hanson et al., 201</w:t>
      </w:r>
      <w:r w:rsidR="00E030B6">
        <w:rPr>
          <w:rFonts w:ascii="Times New Roman" w:hAnsi="Times New Roman" w:cs="Times New Roman"/>
          <w:sz w:val="24"/>
          <w:szCs w:val="24"/>
        </w:rPr>
        <w:t>8</w:t>
      </w:r>
      <w:r w:rsidR="00341AD8">
        <w:rPr>
          <w:rFonts w:ascii="Times New Roman" w:hAnsi="Times New Roman" w:cs="Times New Roman"/>
          <w:sz w:val="24"/>
          <w:szCs w:val="24"/>
        </w:rPr>
        <w:t>, Table 4, Model 5.</w:t>
      </w:r>
    </w:p>
    <w:p w14:paraId="61E8E007" w14:textId="0671AC60" w:rsidR="00341AD8" w:rsidRPr="00EE2783" w:rsidRDefault="00341AD8" w:rsidP="00FF0924">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log odds of the hazard rate to </w:t>
      </w:r>
      <w:r w:rsidR="00F31FF7">
        <w:rPr>
          <w:rFonts w:ascii="Times New Roman" w:hAnsi="Times New Roman" w:cs="Times New Roman"/>
          <w:sz w:val="24"/>
          <w:szCs w:val="24"/>
        </w:rPr>
        <w:t xml:space="preserve">sexually </w:t>
      </w:r>
      <w:r>
        <w:rPr>
          <w:rFonts w:ascii="Times New Roman" w:hAnsi="Times New Roman" w:cs="Times New Roman"/>
          <w:sz w:val="24"/>
          <w:szCs w:val="24"/>
        </w:rPr>
        <w:t xml:space="preserve">reoffend in any given year for individuals with a nonsexual offense after release from their index offense is </w:t>
      </w:r>
      <w:r w:rsidR="00EE2783">
        <w:rPr>
          <w:rFonts w:ascii="Times New Roman" w:hAnsi="Times New Roman" w:cs="Times New Roman"/>
          <w:sz w:val="24"/>
          <w:szCs w:val="24"/>
        </w:rPr>
        <w:t xml:space="preserve">increased by .440 log units </w:t>
      </w:r>
      <w:r w:rsidR="00CF7D21">
        <w:rPr>
          <w:rFonts w:ascii="Times New Roman" w:hAnsi="Times New Roman" w:cs="Times New Roman"/>
          <w:sz w:val="24"/>
          <w:szCs w:val="24"/>
        </w:rPr>
        <w:t>t</w:t>
      </w:r>
      <w:r w:rsidR="00EE2783">
        <w:rPr>
          <w:rFonts w:ascii="Times New Roman" w:hAnsi="Times New Roman" w:cs="Times New Roman"/>
          <w:sz w:val="24"/>
          <w:szCs w:val="24"/>
        </w:rPr>
        <w:t>he year in which the first nonsexual offense occurs</w:t>
      </w:r>
      <w:r w:rsidR="00F31FF7">
        <w:rPr>
          <w:rFonts w:ascii="Times New Roman" w:hAnsi="Times New Roman" w:cs="Times New Roman"/>
          <w:sz w:val="24"/>
          <w:szCs w:val="24"/>
        </w:rPr>
        <w:t xml:space="preserve">.  Their yearly reduction in risk for sexual reoffending is </w:t>
      </w:r>
      <w:r>
        <w:rPr>
          <w:rFonts w:ascii="Times New Roman" w:hAnsi="Times New Roman" w:cs="Times New Roman"/>
          <w:sz w:val="24"/>
          <w:szCs w:val="24"/>
        </w:rPr>
        <w:t>reduced by .135 log units for each year they remain in the community offense free.</w:t>
      </w:r>
      <w:r w:rsidR="00CF7D21">
        <w:rPr>
          <w:rFonts w:ascii="Times New Roman" w:hAnsi="Times New Roman" w:cs="Times New Roman"/>
          <w:sz w:val="24"/>
          <w:szCs w:val="24"/>
        </w:rPr>
        <w:t xml:space="preserve"> The</w:t>
      </w:r>
      <w:r w:rsidR="00EE2783">
        <w:rPr>
          <w:rFonts w:ascii="Times New Roman" w:hAnsi="Times New Roman" w:cs="Times New Roman"/>
          <w:sz w:val="24"/>
          <w:szCs w:val="24"/>
        </w:rPr>
        <w:t>s</w:t>
      </w:r>
      <w:r w:rsidR="00CF7D21">
        <w:rPr>
          <w:rFonts w:ascii="Times New Roman" w:hAnsi="Times New Roman" w:cs="Times New Roman"/>
          <w:sz w:val="24"/>
          <w:szCs w:val="24"/>
        </w:rPr>
        <w:t>e</w:t>
      </w:r>
      <w:r w:rsidR="00EE2783">
        <w:rPr>
          <w:rFonts w:ascii="Times New Roman" w:hAnsi="Times New Roman" w:cs="Times New Roman"/>
          <w:sz w:val="24"/>
          <w:szCs w:val="24"/>
        </w:rPr>
        <w:t xml:space="preserve"> estimate</w:t>
      </w:r>
      <w:r w:rsidR="00CF7D21">
        <w:rPr>
          <w:rFonts w:ascii="Times New Roman" w:hAnsi="Times New Roman" w:cs="Times New Roman"/>
          <w:sz w:val="24"/>
          <w:szCs w:val="24"/>
        </w:rPr>
        <w:t>s are</w:t>
      </w:r>
      <w:r w:rsidR="00EE2783">
        <w:rPr>
          <w:rFonts w:ascii="Times New Roman" w:hAnsi="Times New Roman" w:cs="Times New Roman"/>
          <w:sz w:val="24"/>
          <w:szCs w:val="24"/>
        </w:rPr>
        <w:t xml:space="preserve"> taken from analyses reported in Hanson et al., 201</w:t>
      </w:r>
      <w:r w:rsidR="00E030B6">
        <w:rPr>
          <w:rFonts w:ascii="Times New Roman" w:hAnsi="Times New Roman" w:cs="Times New Roman"/>
          <w:sz w:val="24"/>
          <w:szCs w:val="24"/>
        </w:rPr>
        <w:t>8</w:t>
      </w:r>
      <w:r w:rsidR="00EE2783">
        <w:rPr>
          <w:rFonts w:ascii="Times New Roman" w:hAnsi="Times New Roman" w:cs="Times New Roman"/>
          <w:sz w:val="24"/>
          <w:szCs w:val="24"/>
        </w:rPr>
        <w:t>, Table 5, Model 6a.</w:t>
      </w:r>
    </w:p>
    <w:p w14:paraId="3DE7585D" w14:textId="77777777" w:rsidR="00EE2783" w:rsidRDefault="00EE2783" w:rsidP="00FF0924">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relative reduction in risk for reoffending associated with time free in the community without reoffending is constant across all initial levels of risk. </w:t>
      </w:r>
    </w:p>
    <w:p w14:paraId="6F35D03C" w14:textId="77777777" w:rsidR="00F63575" w:rsidRDefault="00F63575" w:rsidP="00FF0924">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The hazard for reoffending after remaining free in the community for 20 years without reoffending is negligible.  For purposes of the calculator, it was set to 0 after 20 sexual offense free years in the community.</w:t>
      </w:r>
    </w:p>
    <w:p w14:paraId="7E826F93" w14:textId="77777777" w:rsidR="00985693" w:rsidRDefault="00985693" w:rsidP="00FF0924">
      <w:pPr>
        <w:spacing w:after="0" w:line="240" w:lineRule="auto"/>
        <w:rPr>
          <w:rFonts w:ascii="Times New Roman" w:hAnsi="Times New Roman" w:cs="Times New Roman"/>
          <w:b/>
          <w:sz w:val="24"/>
          <w:szCs w:val="24"/>
        </w:rPr>
      </w:pPr>
    </w:p>
    <w:p w14:paraId="6CFF5C40" w14:textId="77777777" w:rsidR="00985693" w:rsidRPr="008B7460" w:rsidRDefault="00F63575" w:rsidP="00FF0924">
      <w:pPr>
        <w:spacing w:after="0" w:line="240" w:lineRule="auto"/>
        <w:rPr>
          <w:rFonts w:ascii="Times New Roman" w:hAnsi="Times New Roman" w:cs="Times New Roman"/>
          <w:b/>
          <w:sz w:val="24"/>
          <w:szCs w:val="24"/>
        </w:rPr>
      </w:pPr>
      <w:r>
        <w:rPr>
          <w:rFonts w:ascii="Times New Roman" w:hAnsi="Times New Roman" w:cs="Times New Roman"/>
          <w:b/>
          <w:sz w:val="24"/>
          <w:szCs w:val="24"/>
        </w:rPr>
        <w:t>Sexual offense free years in the community</w:t>
      </w:r>
    </w:p>
    <w:p w14:paraId="1B82FB36" w14:textId="77777777" w:rsidR="0045246C" w:rsidRDefault="00F63575"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The first function required of the calculator is to identify sp</w:t>
      </w:r>
      <w:r w:rsidR="00CF7D21">
        <w:rPr>
          <w:rFonts w:ascii="Times New Roman" w:hAnsi="Times New Roman" w:cs="Times New Roman"/>
          <w:sz w:val="24"/>
          <w:szCs w:val="24"/>
        </w:rPr>
        <w:t xml:space="preserve">ecific discrete time intervals of </w:t>
      </w:r>
      <w:r>
        <w:rPr>
          <w:rFonts w:ascii="Times New Roman" w:hAnsi="Times New Roman" w:cs="Times New Roman"/>
          <w:sz w:val="24"/>
          <w:szCs w:val="24"/>
        </w:rPr>
        <w:t>o</w:t>
      </w:r>
      <w:r w:rsidR="00CF7D21">
        <w:rPr>
          <w:rFonts w:ascii="Times New Roman" w:hAnsi="Times New Roman" w:cs="Times New Roman"/>
          <w:sz w:val="24"/>
          <w:szCs w:val="24"/>
        </w:rPr>
        <w:t>ne year</w:t>
      </w:r>
      <w:r w:rsidR="002035CD">
        <w:rPr>
          <w:rFonts w:ascii="Times New Roman" w:hAnsi="Times New Roman" w:cs="Times New Roman"/>
          <w:sz w:val="24"/>
          <w:szCs w:val="24"/>
        </w:rPr>
        <w:t>,</w:t>
      </w:r>
      <w:r>
        <w:rPr>
          <w:rFonts w:ascii="Times New Roman" w:hAnsi="Times New Roman" w:cs="Times New Roman"/>
          <w:sz w:val="24"/>
          <w:szCs w:val="24"/>
        </w:rPr>
        <w:t xml:space="preserve"> </w:t>
      </w:r>
      <w:r w:rsidR="005A1AAD">
        <w:rPr>
          <w:rFonts w:ascii="Times New Roman" w:hAnsi="Times New Roman" w:cs="Times New Roman"/>
          <w:sz w:val="24"/>
          <w:szCs w:val="24"/>
        </w:rPr>
        <w:t xml:space="preserve">during which the </w:t>
      </w:r>
      <w:r>
        <w:rPr>
          <w:rFonts w:ascii="Times New Roman" w:hAnsi="Times New Roman" w:cs="Times New Roman"/>
          <w:sz w:val="24"/>
          <w:szCs w:val="24"/>
        </w:rPr>
        <w:t>i</w:t>
      </w:r>
      <w:r w:rsidR="005A1AAD">
        <w:rPr>
          <w:rFonts w:ascii="Times New Roman" w:hAnsi="Times New Roman" w:cs="Times New Roman"/>
          <w:sz w:val="24"/>
          <w:szCs w:val="24"/>
        </w:rPr>
        <w:t xml:space="preserve">ndividual remained free in the community without reoffending sexually.  Any periods that an individual was removed from the community cannot be considered in the reduction of risk since such periods cannot be considered “at </w:t>
      </w:r>
      <w:r w:rsidR="006F5149">
        <w:rPr>
          <w:rFonts w:ascii="Times New Roman" w:hAnsi="Times New Roman" w:cs="Times New Roman"/>
          <w:sz w:val="24"/>
          <w:szCs w:val="24"/>
        </w:rPr>
        <w:t>risk” for reoffending</w:t>
      </w:r>
      <w:r w:rsidR="005A1AAD">
        <w:rPr>
          <w:rFonts w:ascii="Times New Roman" w:hAnsi="Times New Roman" w:cs="Times New Roman"/>
          <w:sz w:val="24"/>
          <w:szCs w:val="24"/>
        </w:rPr>
        <w:t xml:space="preserve">.  This is the purpose for </w:t>
      </w:r>
      <w:r w:rsidR="0045246C">
        <w:rPr>
          <w:rFonts w:ascii="Times New Roman" w:hAnsi="Times New Roman" w:cs="Times New Roman"/>
          <w:sz w:val="24"/>
          <w:szCs w:val="24"/>
        </w:rPr>
        <w:t xml:space="preserve">identifying </w:t>
      </w:r>
      <w:r w:rsidR="005A1AAD">
        <w:rPr>
          <w:rFonts w:ascii="Times New Roman" w:hAnsi="Times New Roman" w:cs="Times New Roman"/>
          <w:sz w:val="24"/>
          <w:szCs w:val="24"/>
        </w:rPr>
        <w:t xml:space="preserve">whether the individual was removed </w:t>
      </w:r>
      <w:r w:rsidR="0045246C">
        <w:rPr>
          <w:rFonts w:ascii="Times New Roman" w:hAnsi="Times New Roman" w:cs="Times New Roman"/>
          <w:sz w:val="24"/>
          <w:szCs w:val="24"/>
        </w:rPr>
        <w:t xml:space="preserve">from the community </w:t>
      </w:r>
      <w:r w:rsidR="00DE6046">
        <w:rPr>
          <w:rFonts w:ascii="Times New Roman" w:hAnsi="Times New Roman" w:cs="Times New Roman"/>
          <w:sz w:val="24"/>
          <w:szCs w:val="24"/>
        </w:rPr>
        <w:t xml:space="preserve">or not </w:t>
      </w:r>
      <w:r w:rsidR="0045246C">
        <w:rPr>
          <w:rFonts w:ascii="Times New Roman" w:hAnsi="Times New Roman" w:cs="Times New Roman"/>
          <w:sz w:val="24"/>
          <w:szCs w:val="24"/>
        </w:rPr>
        <w:t xml:space="preserve">(cell E11), </w:t>
      </w:r>
      <w:r w:rsidR="00015FBE">
        <w:rPr>
          <w:rFonts w:ascii="Times New Roman" w:hAnsi="Times New Roman" w:cs="Times New Roman"/>
          <w:sz w:val="24"/>
          <w:szCs w:val="24"/>
        </w:rPr>
        <w:t xml:space="preserve">and if so, </w:t>
      </w:r>
      <w:r w:rsidR="0045246C">
        <w:rPr>
          <w:rFonts w:ascii="Times New Roman" w:hAnsi="Times New Roman" w:cs="Times New Roman"/>
          <w:sz w:val="24"/>
          <w:szCs w:val="24"/>
        </w:rPr>
        <w:t xml:space="preserve">how many times (cell E13), and the initiation and duration of each </w:t>
      </w:r>
      <w:r w:rsidR="00CF7D21">
        <w:rPr>
          <w:rFonts w:ascii="Times New Roman" w:hAnsi="Times New Roman" w:cs="Times New Roman"/>
          <w:sz w:val="24"/>
          <w:szCs w:val="24"/>
        </w:rPr>
        <w:t xml:space="preserve">removal from the community </w:t>
      </w:r>
      <w:r w:rsidR="0045246C">
        <w:rPr>
          <w:rFonts w:ascii="Times New Roman" w:hAnsi="Times New Roman" w:cs="Times New Roman"/>
          <w:sz w:val="24"/>
          <w:szCs w:val="24"/>
        </w:rPr>
        <w:t>(cells M4 – M13</w:t>
      </w:r>
      <w:r w:rsidR="00617D2A">
        <w:rPr>
          <w:rFonts w:ascii="Times New Roman" w:hAnsi="Times New Roman" w:cs="Times New Roman"/>
          <w:sz w:val="24"/>
          <w:szCs w:val="24"/>
        </w:rPr>
        <w:t xml:space="preserve">; </w:t>
      </w:r>
      <w:r w:rsidR="0045246C">
        <w:rPr>
          <w:rFonts w:ascii="Times New Roman" w:hAnsi="Times New Roman" w:cs="Times New Roman"/>
          <w:sz w:val="24"/>
          <w:szCs w:val="24"/>
        </w:rPr>
        <w:t>N4 – N13).</w:t>
      </w:r>
    </w:p>
    <w:p w14:paraId="0AEC191E" w14:textId="77777777" w:rsidR="00985693" w:rsidRDefault="00985693" w:rsidP="00FF0924">
      <w:pPr>
        <w:spacing w:after="0" w:line="240" w:lineRule="auto"/>
        <w:rPr>
          <w:rFonts w:ascii="Times New Roman" w:hAnsi="Times New Roman" w:cs="Times New Roman"/>
          <w:sz w:val="24"/>
          <w:szCs w:val="24"/>
        </w:rPr>
      </w:pPr>
    </w:p>
    <w:p w14:paraId="1E8C46DA" w14:textId="77777777" w:rsidR="0066257A" w:rsidRDefault="0045246C"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function is performed in the </w:t>
      </w:r>
      <w:r w:rsidR="005508F3">
        <w:rPr>
          <w:rFonts w:ascii="Times New Roman" w:hAnsi="Times New Roman" w:cs="Times New Roman"/>
          <w:sz w:val="24"/>
          <w:szCs w:val="24"/>
        </w:rPr>
        <w:t>“Time Accounting” tab/worksheet</w:t>
      </w:r>
      <w:r w:rsidR="006F5149">
        <w:rPr>
          <w:rFonts w:ascii="Times New Roman" w:hAnsi="Times New Roman" w:cs="Times New Roman"/>
          <w:sz w:val="24"/>
          <w:szCs w:val="24"/>
        </w:rPr>
        <w:t>,</w:t>
      </w:r>
      <w:r>
        <w:rPr>
          <w:rFonts w:ascii="Times New Roman" w:hAnsi="Times New Roman" w:cs="Times New Roman"/>
          <w:sz w:val="24"/>
          <w:szCs w:val="24"/>
        </w:rPr>
        <w:t xml:space="preserve"> which can be viewed for verification if desired</w:t>
      </w:r>
      <w:r w:rsidR="0066257A">
        <w:rPr>
          <w:rFonts w:ascii="Times New Roman" w:hAnsi="Times New Roman" w:cs="Times New Roman"/>
          <w:sz w:val="24"/>
          <w:szCs w:val="24"/>
        </w:rPr>
        <w:t xml:space="preserve">.  All cells in this worksheet have been locked to prevent </w:t>
      </w:r>
      <w:r>
        <w:rPr>
          <w:rFonts w:ascii="Times New Roman" w:hAnsi="Times New Roman" w:cs="Times New Roman"/>
          <w:sz w:val="24"/>
          <w:szCs w:val="24"/>
        </w:rPr>
        <w:t>modif</w:t>
      </w:r>
      <w:r w:rsidR="0066257A">
        <w:rPr>
          <w:rFonts w:ascii="Times New Roman" w:hAnsi="Times New Roman" w:cs="Times New Roman"/>
          <w:sz w:val="24"/>
          <w:szCs w:val="24"/>
        </w:rPr>
        <w:t>ication</w:t>
      </w:r>
      <w:r>
        <w:rPr>
          <w:rFonts w:ascii="Times New Roman" w:hAnsi="Times New Roman" w:cs="Times New Roman"/>
          <w:sz w:val="24"/>
          <w:szCs w:val="24"/>
        </w:rPr>
        <w:t xml:space="preserve">.  </w:t>
      </w:r>
    </w:p>
    <w:p w14:paraId="0686E075" w14:textId="77777777" w:rsidR="00985693" w:rsidRDefault="00985693" w:rsidP="00FF0924">
      <w:pPr>
        <w:spacing w:after="0" w:line="240" w:lineRule="auto"/>
        <w:rPr>
          <w:rFonts w:ascii="Times New Roman" w:hAnsi="Times New Roman" w:cs="Times New Roman"/>
          <w:sz w:val="24"/>
          <w:szCs w:val="24"/>
        </w:rPr>
      </w:pPr>
    </w:p>
    <w:p w14:paraId="7F5D9203" w14:textId="77777777" w:rsidR="0066257A" w:rsidRDefault="0066257A"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An</w:t>
      </w:r>
      <w:r w:rsidR="0045246C">
        <w:rPr>
          <w:rFonts w:ascii="Times New Roman" w:hAnsi="Times New Roman" w:cs="Times New Roman"/>
          <w:sz w:val="24"/>
          <w:szCs w:val="24"/>
        </w:rPr>
        <w:t xml:space="preserve"> individual is considered to have returned to the community (and thereby become</w:t>
      </w:r>
      <w:r w:rsidR="00617D2A">
        <w:rPr>
          <w:rFonts w:ascii="Times New Roman" w:hAnsi="Times New Roman" w:cs="Times New Roman"/>
          <w:sz w:val="24"/>
          <w:szCs w:val="24"/>
        </w:rPr>
        <w:t>s</w:t>
      </w:r>
      <w:r>
        <w:rPr>
          <w:rFonts w:ascii="Times New Roman" w:hAnsi="Times New Roman" w:cs="Times New Roman"/>
          <w:sz w:val="24"/>
          <w:szCs w:val="24"/>
        </w:rPr>
        <w:t xml:space="preserve"> at risk to potentially reoffend</w:t>
      </w:r>
      <w:r w:rsidR="0045246C">
        <w:rPr>
          <w:rFonts w:ascii="Times New Roman" w:hAnsi="Times New Roman" w:cs="Times New Roman"/>
          <w:sz w:val="24"/>
          <w:szCs w:val="24"/>
        </w:rPr>
        <w:t xml:space="preserve">) as of the </w:t>
      </w:r>
      <w:r w:rsidR="00CF7D21">
        <w:rPr>
          <w:rFonts w:ascii="Times New Roman" w:hAnsi="Times New Roman" w:cs="Times New Roman"/>
          <w:sz w:val="24"/>
          <w:szCs w:val="24"/>
        </w:rPr>
        <w:t xml:space="preserve">index offense </w:t>
      </w:r>
      <w:r w:rsidR="0045246C">
        <w:rPr>
          <w:rFonts w:ascii="Times New Roman" w:hAnsi="Times New Roman" w:cs="Times New Roman"/>
          <w:sz w:val="24"/>
          <w:szCs w:val="24"/>
        </w:rPr>
        <w:t xml:space="preserve">release date identified (cell </w:t>
      </w:r>
      <w:r w:rsidR="007256BE">
        <w:rPr>
          <w:rFonts w:ascii="Times New Roman" w:hAnsi="Times New Roman" w:cs="Times New Roman"/>
          <w:sz w:val="24"/>
          <w:szCs w:val="24"/>
        </w:rPr>
        <w:t>E3)</w:t>
      </w:r>
      <w:r w:rsidR="00617D2A">
        <w:rPr>
          <w:rFonts w:ascii="Times New Roman" w:hAnsi="Times New Roman" w:cs="Times New Roman"/>
          <w:sz w:val="24"/>
          <w:szCs w:val="24"/>
        </w:rPr>
        <w:t>.  T</w:t>
      </w:r>
      <w:r w:rsidR="007256BE">
        <w:rPr>
          <w:rFonts w:ascii="Times New Roman" w:hAnsi="Times New Roman" w:cs="Times New Roman"/>
          <w:sz w:val="24"/>
          <w:szCs w:val="24"/>
        </w:rPr>
        <w:t xml:space="preserve">ime free in the community </w:t>
      </w:r>
      <w:r w:rsidR="00617D2A">
        <w:rPr>
          <w:rFonts w:ascii="Times New Roman" w:hAnsi="Times New Roman" w:cs="Times New Roman"/>
          <w:sz w:val="24"/>
          <w:szCs w:val="24"/>
        </w:rPr>
        <w:t xml:space="preserve">accumulates </w:t>
      </w:r>
      <w:r w:rsidR="007256BE">
        <w:rPr>
          <w:rFonts w:ascii="Times New Roman" w:hAnsi="Times New Roman" w:cs="Times New Roman"/>
          <w:sz w:val="24"/>
          <w:szCs w:val="24"/>
        </w:rPr>
        <w:t xml:space="preserve">until the start of the first removal event (cell </w:t>
      </w:r>
      <w:r w:rsidR="00B21F92">
        <w:rPr>
          <w:rFonts w:ascii="Times New Roman" w:hAnsi="Times New Roman" w:cs="Times New Roman"/>
          <w:sz w:val="24"/>
          <w:szCs w:val="24"/>
        </w:rPr>
        <w:t>M4).  R</w:t>
      </w:r>
      <w:r w:rsidR="00617D2A">
        <w:rPr>
          <w:rFonts w:ascii="Times New Roman" w:hAnsi="Times New Roman" w:cs="Times New Roman"/>
          <w:sz w:val="24"/>
          <w:szCs w:val="24"/>
        </w:rPr>
        <w:t xml:space="preserve">e-entry of the </w:t>
      </w:r>
      <w:r w:rsidR="007256BE">
        <w:rPr>
          <w:rFonts w:ascii="Times New Roman" w:hAnsi="Times New Roman" w:cs="Times New Roman"/>
          <w:sz w:val="24"/>
          <w:szCs w:val="24"/>
        </w:rPr>
        <w:t xml:space="preserve">individual </w:t>
      </w:r>
      <w:r w:rsidR="00617D2A">
        <w:rPr>
          <w:rFonts w:ascii="Times New Roman" w:hAnsi="Times New Roman" w:cs="Times New Roman"/>
          <w:sz w:val="24"/>
          <w:szCs w:val="24"/>
        </w:rPr>
        <w:t xml:space="preserve">back into </w:t>
      </w:r>
      <w:r w:rsidR="007256BE">
        <w:rPr>
          <w:rFonts w:ascii="Times New Roman" w:hAnsi="Times New Roman" w:cs="Times New Roman"/>
          <w:sz w:val="24"/>
          <w:szCs w:val="24"/>
        </w:rPr>
        <w:t xml:space="preserve">the community </w:t>
      </w:r>
      <w:r w:rsidR="00617D2A">
        <w:rPr>
          <w:rFonts w:ascii="Times New Roman" w:hAnsi="Times New Roman" w:cs="Times New Roman"/>
          <w:sz w:val="24"/>
          <w:szCs w:val="24"/>
        </w:rPr>
        <w:t xml:space="preserve">is computed from </w:t>
      </w:r>
      <w:r w:rsidR="002D6541">
        <w:rPr>
          <w:rFonts w:ascii="Times New Roman" w:hAnsi="Times New Roman" w:cs="Times New Roman"/>
          <w:sz w:val="24"/>
          <w:szCs w:val="24"/>
        </w:rPr>
        <w:t xml:space="preserve">the removal date </w:t>
      </w:r>
      <w:r w:rsidR="00617D2A">
        <w:rPr>
          <w:rFonts w:ascii="Times New Roman" w:hAnsi="Times New Roman" w:cs="Times New Roman"/>
          <w:sz w:val="24"/>
          <w:szCs w:val="24"/>
        </w:rPr>
        <w:t xml:space="preserve">identified </w:t>
      </w:r>
      <w:r w:rsidR="002D6541">
        <w:rPr>
          <w:rFonts w:ascii="Times New Roman" w:hAnsi="Times New Roman" w:cs="Times New Roman"/>
          <w:sz w:val="24"/>
          <w:szCs w:val="24"/>
        </w:rPr>
        <w:t xml:space="preserve">plus the </w:t>
      </w:r>
      <w:r w:rsidR="00015FBE">
        <w:rPr>
          <w:rFonts w:ascii="Times New Roman" w:hAnsi="Times New Roman" w:cs="Times New Roman"/>
          <w:sz w:val="24"/>
          <w:szCs w:val="24"/>
        </w:rPr>
        <w:t xml:space="preserve">number of days </w:t>
      </w:r>
      <w:r w:rsidR="00617D2A">
        <w:rPr>
          <w:rFonts w:ascii="Times New Roman" w:hAnsi="Times New Roman" w:cs="Times New Roman"/>
          <w:sz w:val="24"/>
          <w:szCs w:val="24"/>
        </w:rPr>
        <w:t>remov</w:t>
      </w:r>
      <w:r w:rsidR="00015FBE">
        <w:rPr>
          <w:rFonts w:ascii="Times New Roman" w:hAnsi="Times New Roman" w:cs="Times New Roman"/>
          <w:sz w:val="24"/>
          <w:szCs w:val="24"/>
        </w:rPr>
        <w:t xml:space="preserve">ed from the community </w:t>
      </w:r>
      <w:r w:rsidR="002D6541">
        <w:rPr>
          <w:rFonts w:ascii="Times New Roman" w:hAnsi="Times New Roman" w:cs="Times New Roman"/>
          <w:sz w:val="24"/>
          <w:szCs w:val="24"/>
        </w:rPr>
        <w:t>(cell N4).</w:t>
      </w:r>
      <w:r w:rsidR="00E55298">
        <w:rPr>
          <w:rFonts w:ascii="Times New Roman" w:hAnsi="Times New Roman" w:cs="Times New Roman"/>
          <w:sz w:val="24"/>
          <w:szCs w:val="24"/>
        </w:rPr>
        <w:t xml:space="preserve">  Each period of time the individual is in the community and at risk to potentially reoffend are shown in columns A and B, rows 2 – 12 of </w:t>
      </w:r>
      <w:r w:rsidR="00E55298">
        <w:rPr>
          <w:rFonts w:ascii="Times New Roman" w:hAnsi="Times New Roman" w:cs="Times New Roman"/>
          <w:sz w:val="24"/>
          <w:szCs w:val="24"/>
        </w:rPr>
        <w:lastRenderedPageBreak/>
        <w:t xml:space="preserve">the </w:t>
      </w:r>
      <w:r w:rsidR="008B7460">
        <w:rPr>
          <w:rFonts w:ascii="Times New Roman" w:hAnsi="Times New Roman" w:cs="Times New Roman"/>
          <w:sz w:val="24"/>
          <w:szCs w:val="24"/>
        </w:rPr>
        <w:t>“</w:t>
      </w:r>
      <w:r w:rsidR="00E55298">
        <w:rPr>
          <w:rFonts w:ascii="Times New Roman" w:hAnsi="Times New Roman" w:cs="Times New Roman"/>
          <w:sz w:val="24"/>
          <w:szCs w:val="24"/>
        </w:rPr>
        <w:t>Time Accounting</w:t>
      </w:r>
      <w:r w:rsidR="008B7460">
        <w:rPr>
          <w:rFonts w:ascii="Times New Roman" w:hAnsi="Times New Roman" w:cs="Times New Roman"/>
          <w:sz w:val="24"/>
          <w:szCs w:val="24"/>
        </w:rPr>
        <w:t>”</w:t>
      </w:r>
      <w:r w:rsidR="00E55298">
        <w:rPr>
          <w:rFonts w:ascii="Times New Roman" w:hAnsi="Times New Roman" w:cs="Times New Roman"/>
          <w:sz w:val="24"/>
          <w:szCs w:val="24"/>
        </w:rPr>
        <w:t xml:space="preserve"> </w:t>
      </w:r>
      <w:r w:rsidR="00F8205F">
        <w:rPr>
          <w:rFonts w:ascii="Times New Roman" w:hAnsi="Times New Roman" w:cs="Times New Roman"/>
          <w:sz w:val="24"/>
          <w:szCs w:val="24"/>
        </w:rPr>
        <w:t>tab/</w:t>
      </w:r>
      <w:r w:rsidR="00E55298">
        <w:rPr>
          <w:rFonts w:ascii="Times New Roman" w:hAnsi="Times New Roman" w:cs="Times New Roman"/>
          <w:sz w:val="24"/>
          <w:szCs w:val="24"/>
        </w:rPr>
        <w:t>worksheet.  Days in the community for each interval are displayed in column C</w:t>
      </w:r>
      <w:r w:rsidR="006C0247">
        <w:rPr>
          <w:rFonts w:ascii="Times New Roman" w:hAnsi="Times New Roman" w:cs="Times New Roman"/>
          <w:sz w:val="24"/>
          <w:szCs w:val="24"/>
        </w:rPr>
        <w:t xml:space="preserve">, </w:t>
      </w:r>
      <w:r w:rsidR="00E55298">
        <w:rPr>
          <w:rFonts w:ascii="Times New Roman" w:hAnsi="Times New Roman" w:cs="Times New Roman"/>
          <w:sz w:val="24"/>
          <w:szCs w:val="24"/>
        </w:rPr>
        <w:t xml:space="preserve">the cumulative days free in the community </w:t>
      </w:r>
      <w:r>
        <w:rPr>
          <w:rFonts w:ascii="Times New Roman" w:hAnsi="Times New Roman" w:cs="Times New Roman"/>
          <w:sz w:val="24"/>
          <w:szCs w:val="24"/>
        </w:rPr>
        <w:t xml:space="preserve">are shown </w:t>
      </w:r>
      <w:r w:rsidR="00E55298">
        <w:rPr>
          <w:rFonts w:ascii="Times New Roman" w:hAnsi="Times New Roman" w:cs="Times New Roman"/>
          <w:sz w:val="24"/>
          <w:szCs w:val="24"/>
        </w:rPr>
        <w:t>in column D</w:t>
      </w:r>
      <w:r w:rsidR="006C0247">
        <w:rPr>
          <w:rFonts w:ascii="Times New Roman" w:hAnsi="Times New Roman" w:cs="Times New Roman"/>
          <w:sz w:val="24"/>
          <w:szCs w:val="24"/>
        </w:rPr>
        <w:t xml:space="preserve">, and the number of years accounted for since the initial release date </w:t>
      </w:r>
      <w:r>
        <w:rPr>
          <w:rFonts w:ascii="Times New Roman" w:hAnsi="Times New Roman" w:cs="Times New Roman"/>
          <w:sz w:val="24"/>
          <w:szCs w:val="24"/>
        </w:rPr>
        <w:t xml:space="preserve">presented </w:t>
      </w:r>
      <w:r w:rsidR="006C0247">
        <w:rPr>
          <w:rFonts w:ascii="Times New Roman" w:hAnsi="Times New Roman" w:cs="Times New Roman"/>
          <w:sz w:val="24"/>
          <w:szCs w:val="24"/>
        </w:rPr>
        <w:t>in column E.  These data are used to</w:t>
      </w:r>
      <w:r w:rsidR="00F6419E">
        <w:rPr>
          <w:rFonts w:ascii="Times New Roman" w:hAnsi="Times New Roman" w:cs="Times New Roman"/>
          <w:sz w:val="24"/>
          <w:szCs w:val="24"/>
        </w:rPr>
        <w:t xml:space="preserve"> compute end date</w:t>
      </w:r>
      <w:r>
        <w:rPr>
          <w:rFonts w:ascii="Times New Roman" w:hAnsi="Times New Roman" w:cs="Times New Roman"/>
          <w:sz w:val="24"/>
          <w:szCs w:val="24"/>
        </w:rPr>
        <w:t xml:space="preserve">s for </w:t>
      </w:r>
      <w:r w:rsidR="00F6419E">
        <w:rPr>
          <w:rFonts w:ascii="Times New Roman" w:hAnsi="Times New Roman" w:cs="Times New Roman"/>
          <w:sz w:val="24"/>
          <w:szCs w:val="24"/>
        </w:rPr>
        <w:t xml:space="preserve">one-year intervals (365.25 days), removing any time that the individual was not in the community </w:t>
      </w:r>
      <w:r w:rsidR="006912E2">
        <w:rPr>
          <w:rFonts w:ascii="Times New Roman" w:hAnsi="Times New Roman" w:cs="Times New Roman"/>
          <w:sz w:val="24"/>
          <w:szCs w:val="24"/>
        </w:rPr>
        <w:t xml:space="preserve">– and </w:t>
      </w:r>
      <w:r w:rsidR="005508F3">
        <w:rPr>
          <w:rFonts w:ascii="Times New Roman" w:hAnsi="Times New Roman" w:cs="Times New Roman"/>
          <w:sz w:val="24"/>
          <w:szCs w:val="24"/>
        </w:rPr>
        <w:t xml:space="preserve">thereby </w:t>
      </w:r>
      <w:r w:rsidR="00F6419E">
        <w:rPr>
          <w:rFonts w:ascii="Times New Roman" w:hAnsi="Times New Roman" w:cs="Times New Roman"/>
          <w:sz w:val="24"/>
          <w:szCs w:val="24"/>
        </w:rPr>
        <w:t xml:space="preserve">not </w:t>
      </w:r>
      <w:r w:rsidR="006F5149">
        <w:rPr>
          <w:rFonts w:ascii="Times New Roman" w:hAnsi="Times New Roman" w:cs="Times New Roman"/>
          <w:sz w:val="24"/>
          <w:szCs w:val="24"/>
        </w:rPr>
        <w:t xml:space="preserve">at risk </w:t>
      </w:r>
      <w:r w:rsidR="00F6419E">
        <w:rPr>
          <w:rFonts w:ascii="Times New Roman" w:hAnsi="Times New Roman" w:cs="Times New Roman"/>
          <w:sz w:val="24"/>
          <w:szCs w:val="24"/>
        </w:rPr>
        <w:t>to reoffend.</w:t>
      </w:r>
      <w:r w:rsidR="006C0247">
        <w:rPr>
          <w:rFonts w:ascii="Times New Roman" w:hAnsi="Times New Roman" w:cs="Times New Roman"/>
          <w:sz w:val="24"/>
          <w:szCs w:val="24"/>
        </w:rPr>
        <w:t xml:space="preserve"> </w:t>
      </w:r>
      <w:r w:rsidR="00F6419E">
        <w:rPr>
          <w:rFonts w:ascii="Times New Roman" w:hAnsi="Times New Roman" w:cs="Times New Roman"/>
          <w:sz w:val="24"/>
          <w:szCs w:val="24"/>
        </w:rPr>
        <w:t xml:space="preserve"> </w:t>
      </w:r>
      <w:r>
        <w:rPr>
          <w:rFonts w:ascii="Times New Roman" w:hAnsi="Times New Roman" w:cs="Times New Roman"/>
          <w:sz w:val="24"/>
          <w:szCs w:val="24"/>
        </w:rPr>
        <w:t xml:space="preserve">Thus, the end date of the first year </w:t>
      </w:r>
      <w:r w:rsidR="002239AD">
        <w:rPr>
          <w:rFonts w:ascii="Times New Roman" w:hAnsi="Times New Roman" w:cs="Times New Roman"/>
          <w:sz w:val="24"/>
          <w:szCs w:val="24"/>
        </w:rPr>
        <w:t xml:space="preserve">“free in the community” </w:t>
      </w:r>
      <w:r>
        <w:rPr>
          <w:rFonts w:ascii="Times New Roman" w:hAnsi="Times New Roman" w:cs="Times New Roman"/>
          <w:sz w:val="24"/>
          <w:szCs w:val="24"/>
        </w:rPr>
        <w:t>for a person</w:t>
      </w:r>
      <w:r w:rsidR="002239AD">
        <w:rPr>
          <w:rFonts w:ascii="Times New Roman" w:hAnsi="Times New Roman" w:cs="Times New Roman"/>
          <w:sz w:val="24"/>
          <w:szCs w:val="24"/>
        </w:rPr>
        <w:t xml:space="preserve"> who was incarcerated for one month prior to completing a full year in the community</w:t>
      </w:r>
      <w:r>
        <w:rPr>
          <w:rFonts w:ascii="Times New Roman" w:hAnsi="Times New Roman" w:cs="Times New Roman"/>
          <w:sz w:val="24"/>
          <w:szCs w:val="24"/>
        </w:rPr>
        <w:t xml:space="preserve"> </w:t>
      </w:r>
      <w:r w:rsidR="002239AD">
        <w:rPr>
          <w:rFonts w:ascii="Times New Roman" w:hAnsi="Times New Roman" w:cs="Times New Roman"/>
          <w:sz w:val="24"/>
          <w:szCs w:val="24"/>
        </w:rPr>
        <w:t>would be 13 months after the</w:t>
      </w:r>
      <w:r w:rsidR="005508F3">
        <w:rPr>
          <w:rFonts w:ascii="Times New Roman" w:hAnsi="Times New Roman" w:cs="Times New Roman"/>
          <w:sz w:val="24"/>
          <w:szCs w:val="24"/>
        </w:rPr>
        <w:t>ir</w:t>
      </w:r>
      <w:r w:rsidR="002239AD">
        <w:rPr>
          <w:rFonts w:ascii="Times New Roman" w:hAnsi="Times New Roman" w:cs="Times New Roman"/>
          <w:sz w:val="24"/>
          <w:szCs w:val="24"/>
        </w:rPr>
        <w:t xml:space="preserve"> initial release date.</w:t>
      </w:r>
    </w:p>
    <w:p w14:paraId="43B76F0E" w14:textId="77777777" w:rsidR="00985693" w:rsidRDefault="00985693" w:rsidP="00FF0924">
      <w:pPr>
        <w:spacing w:after="0" w:line="240" w:lineRule="auto"/>
        <w:rPr>
          <w:rFonts w:ascii="Times New Roman" w:hAnsi="Times New Roman" w:cs="Times New Roman"/>
          <w:sz w:val="24"/>
          <w:szCs w:val="24"/>
        </w:rPr>
      </w:pPr>
    </w:p>
    <w:p w14:paraId="6F2C5090" w14:textId="77777777" w:rsidR="0066257A" w:rsidRDefault="003207D8"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dates identified as the end of each </w:t>
      </w:r>
      <w:r w:rsidR="002239AD">
        <w:rPr>
          <w:rFonts w:ascii="Times New Roman" w:hAnsi="Times New Roman" w:cs="Times New Roman"/>
          <w:sz w:val="24"/>
          <w:szCs w:val="24"/>
        </w:rPr>
        <w:t xml:space="preserve">complete </w:t>
      </w:r>
      <w:r>
        <w:rPr>
          <w:rFonts w:ascii="Times New Roman" w:hAnsi="Times New Roman" w:cs="Times New Roman"/>
          <w:sz w:val="24"/>
          <w:szCs w:val="24"/>
        </w:rPr>
        <w:t>year</w:t>
      </w:r>
      <w:r w:rsidR="002239AD">
        <w:rPr>
          <w:rFonts w:ascii="Times New Roman" w:hAnsi="Times New Roman" w:cs="Times New Roman"/>
          <w:sz w:val="24"/>
          <w:szCs w:val="24"/>
        </w:rPr>
        <w:t>,</w:t>
      </w:r>
      <w:r w:rsidR="009C5806">
        <w:rPr>
          <w:rFonts w:ascii="Times New Roman" w:hAnsi="Times New Roman" w:cs="Times New Roman"/>
          <w:sz w:val="24"/>
          <w:szCs w:val="24"/>
        </w:rPr>
        <w:t xml:space="preserve"> and the number of </w:t>
      </w:r>
      <w:r w:rsidR="002239AD">
        <w:rPr>
          <w:rFonts w:ascii="Times New Roman" w:hAnsi="Times New Roman" w:cs="Times New Roman"/>
          <w:sz w:val="24"/>
          <w:szCs w:val="24"/>
        </w:rPr>
        <w:t xml:space="preserve">days </w:t>
      </w:r>
      <w:r w:rsidR="009C5806">
        <w:rPr>
          <w:rFonts w:ascii="Times New Roman" w:hAnsi="Times New Roman" w:cs="Times New Roman"/>
          <w:sz w:val="24"/>
          <w:szCs w:val="24"/>
        </w:rPr>
        <w:t xml:space="preserve">remaining to be accounted for </w:t>
      </w:r>
      <w:r w:rsidR="002239AD">
        <w:rPr>
          <w:rFonts w:ascii="Times New Roman" w:hAnsi="Times New Roman" w:cs="Times New Roman"/>
          <w:sz w:val="24"/>
          <w:szCs w:val="24"/>
        </w:rPr>
        <w:t xml:space="preserve">in future years, </w:t>
      </w:r>
      <w:r>
        <w:rPr>
          <w:rFonts w:ascii="Times New Roman" w:hAnsi="Times New Roman" w:cs="Times New Roman"/>
          <w:sz w:val="24"/>
          <w:szCs w:val="24"/>
        </w:rPr>
        <w:t xml:space="preserve">are </w:t>
      </w:r>
      <w:r w:rsidR="009C5806">
        <w:rPr>
          <w:rFonts w:ascii="Times New Roman" w:hAnsi="Times New Roman" w:cs="Times New Roman"/>
          <w:sz w:val="24"/>
          <w:szCs w:val="24"/>
        </w:rPr>
        <w:t xml:space="preserve">shown in </w:t>
      </w:r>
      <w:r w:rsidR="002239AD">
        <w:rPr>
          <w:rFonts w:ascii="Times New Roman" w:hAnsi="Times New Roman" w:cs="Times New Roman"/>
          <w:sz w:val="24"/>
          <w:szCs w:val="24"/>
        </w:rPr>
        <w:t xml:space="preserve">rows 2 – 12 of </w:t>
      </w:r>
      <w:r w:rsidR="009C5806">
        <w:rPr>
          <w:rFonts w:ascii="Times New Roman" w:hAnsi="Times New Roman" w:cs="Times New Roman"/>
          <w:sz w:val="24"/>
          <w:szCs w:val="24"/>
        </w:rPr>
        <w:t>columns J through AV</w:t>
      </w:r>
      <w:r w:rsidR="00BA5999">
        <w:rPr>
          <w:rFonts w:ascii="Times New Roman" w:hAnsi="Times New Roman" w:cs="Times New Roman"/>
          <w:sz w:val="24"/>
          <w:szCs w:val="24"/>
        </w:rPr>
        <w:t xml:space="preserve"> of the “Time Accounting” tab/worksheet</w:t>
      </w:r>
      <w:r w:rsidR="009C5806">
        <w:rPr>
          <w:rFonts w:ascii="Times New Roman" w:hAnsi="Times New Roman" w:cs="Times New Roman"/>
          <w:sz w:val="24"/>
          <w:szCs w:val="24"/>
        </w:rPr>
        <w:t>.  The final timeline that computes the end dates for 20 complete years, beginning at the release date from the index offense and removing any time the individual was not free in the community, are</w:t>
      </w:r>
      <w:r w:rsidR="0066257A">
        <w:rPr>
          <w:rFonts w:ascii="Times New Roman" w:hAnsi="Times New Roman" w:cs="Times New Roman"/>
          <w:sz w:val="24"/>
          <w:szCs w:val="24"/>
        </w:rPr>
        <w:t xml:space="preserve"> shown in row 22.  </w:t>
      </w:r>
      <w:r w:rsidR="002239AD">
        <w:rPr>
          <w:rFonts w:ascii="Times New Roman" w:hAnsi="Times New Roman" w:cs="Times New Roman"/>
          <w:sz w:val="24"/>
          <w:szCs w:val="24"/>
        </w:rPr>
        <w:t xml:space="preserve">The calculations do allow for year-end dates to be projected into the future. </w:t>
      </w:r>
      <w:r w:rsidR="0066257A">
        <w:rPr>
          <w:rFonts w:ascii="Times New Roman" w:hAnsi="Times New Roman" w:cs="Times New Roman"/>
          <w:sz w:val="24"/>
          <w:szCs w:val="24"/>
        </w:rPr>
        <w:t xml:space="preserve">These </w:t>
      </w:r>
      <w:r w:rsidR="00BA5999">
        <w:rPr>
          <w:rFonts w:ascii="Times New Roman" w:hAnsi="Times New Roman" w:cs="Times New Roman"/>
          <w:sz w:val="24"/>
          <w:szCs w:val="24"/>
        </w:rPr>
        <w:t>dates are used to populate the ‘Year End Date’</w:t>
      </w:r>
      <w:r w:rsidR="0066257A">
        <w:rPr>
          <w:rFonts w:ascii="Times New Roman" w:hAnsi="Times New Roman" w:cs="Times New Roman"/>
          <w:sz w:val="24"/>
          <w:szCs w:val="24"/>
        </w:rPr>
        <w:t xml:space="preserve"> of column</w:t>
      </w:r>
      <w:r w:rsidR="006912E2">
        <w:rPr>
          <w:rFonts w:ascii="Times New Roman" w:hAnsi="Times New Roman" w:cs="Times New Roman"/>
          <w:sz w:val="24"/>
          <w:szCs w:val="24"/>
        </w:rPr>
        <w:t xml:space="preserve"> </w:t>
      </w:r>
      <w:r w:rsidR="0066257A">
        <w:rPr>
          <w:rFonts w:ascii="Times New Roman" w:hAnsi="Times New Roman" w:cs="Times New Roman"/>
          <w:sz w:val="24"/>
          <w:szCs w:val="24"/>
        </w:rPr>
        <w:t xml:space="preserve">I of the </w:t>
      </w:r>
      <w:r w:rsidR="00BA5999">
        <w:rPr>
          <w:rFonts w:ascii="Times New Roman" w:hAnsi="Times New Roman" w:cs="Times New Roman"/>
          <w:sz w:val="24"/>
          <w:szCs w:val="24"/>
        </w:rPr>
        <w:t>“</w:t>
      </w:r>
      <w:r w:rsidR="0066257A">
        <w:rPr>
          <w:rFonts w:ascii="Times New Roman" w:hAnsi="Times New Roman" w:cs="Times New Roman"/>
          <w:sz w:val="24"/>
          <w:szCs w:val="24"/>
        </w:rPr>
        <w:t>Calculator</w:t>
      </w:r>
      <w:r w:rsidR="00BA5999">
        <w:rPr>
          <w:rFonts w:ascii="Times New Roman" w:hAnsi="Times New Roman" w:cs="Times New Roman"/>
          <w:sz w:val="24"/>
          <w:szCs w:val="24"/>
        </w:rPr>
        <w:t>”</w:t>
      </w:r>
      <w:r w:rsidR="0066257A">
        <w:rPr>
          <w:rFonts w:ascii="Times New Roman" w:hAnsi="Times New Roman" w:cs="Times New Roman"/>
          <w:sz w:val="24"/>
          <w:szCs w:val="24"/>
        </w:rPr>
        <w:t xml:space="preserve"> </w:t>
      </w:r>
      <w:r w:rsidR="00F8205F">
        <w:rPr>
          <w:rFonts w:ascii="Times New Roman" w:hAnsi="Times New Roman" w:cs="Times New Roman"/>
          <w:sz w:val="24"/>
          <w:szCs w:val="24"/>
        </w:rPr>
        <w:t>tab/</w:t>
      </w:r>
      <w:r w:rsidR="0066257A">
        <w:rPr>
          <w:rFonts w:ascii="Times New Roman" w:hAnsi="Times New Roman" w:cs="Times New Roman"/>
          <w:sz w:val="24"/>
          <w:szCs w:val="24"/>
        </w:rPr>
        <w:t>worksheet.</w:t>
      </w:r>
      <w:r w:rsidR="00BA5999">
        <w:rPr>
          <w:rFonts w:ascii="Times New Roman" w:hAnsi="Times New Roman" w:cs="Times New Roman"/>
          <w:sz w:val="24"/>
          <w:szCs w:val="24"/>
        </w:rPr>
        <w:t xml:space="preserve">  NOTE: The row for any ‘Year End Date’</w:t>
      </w:r>
      <w:r w:rsidR="006912E2">
        <w:rPr>
          <w:rFonts w:ascii="Times New Roman" w:hAnsi="Times New Roman" w:cs="Times New Roman"/>
          <w:sz w:val="24"/>
          <w:szCs w:val="24"/>
        </w:rPr>
        <w:t xml:space="preserve"> that is more than 1 year prior to the current date is black</w:t>
      </w:r>
      <w:r w:rsidR="00BA5999">
        <w:rPr>
          <w:rFonts w:ascii="Times New Roman" w:hAnsi="Times New Roman" w:cs="Times New Roman"/>
          <w:sz w:val="24"/>
          <w:szCs w:val="24"/>
        </w:rPr>
        <w:t>en</w:t>
      </w:r>
      <w:r w:rsidR="006912E2">
        <w:rPr>
          <w:rFonts w:ascii="Times New Roman" w:hAnsi="Times New Roman" w:cs="Times New Roman"/>
          <w:sz w:val="24"/>
          <w:szCs w:val="24"/>
        </w:rPr>
        <w:t xml:space="preserve">ed out on the </w:t>
      </w:r>
      <w:r w:rsidR="00BA5999">
        <w:rPr>
          <w:rFonts w:ascii="Times New Roman" w:hAnsi="Times New Roman" w:cs="Times New Roman"/>
          <w:sz w:val="24"/>
          <w:szCs w:val="24"/>
        </w:rPr>
        <w:t>“</w:t>
      </w:r>
      <w:r w:rsidR="006912E2">
        <w:rPr>
          <w:rFonts w:ascii="Times New Roman" w:hAnsi="Times New Roman" w:cs="Times New Roman"/>
          <w:sz w:val="24"/>
          <w:szCs w:val="24"/>
        </w:rPr>
        <w:t>Calculator</w:t>
      </w:r>
      <w:r w:rsidR="00BA5999">
        <w:rPr>
          <w:rFonts w:ascii="Times New Roman" w:hAnsi="Times New Roman" w:cs="Times New Roman"/>
          <w:sz w:val="24"/>
          <w:szCs w:val="24"/>
        </w:rPr>
        <w:t>”</w:t>
      </w:r>
      <w:r w:rsidR="006912E2">
        <w:rPr>
          <w:rFonts w:ascii="Times New Roman" w:hAnsi="Times New Roman" w:cs="Times New Roman"/>
          <w:sz w:val="24"/>
          <w:szCs w:val="24"/>
        </w:rPr>
        <w:t xml:space="preserve"> </w:t>
      </w:r>
      <w:r w:rsidR="00F8205F">
        <w:rPr>
          <w:rFonts w:ascii="Times New Roman" w:hAnsi="Times New Roman" w:cs="Times New Roman"/>
          <w:sz w:val="24"/>
          <w:szCs w:val="24"/>
        </w:rPr>
        <w:t>tab/</w:t>
      </w:r>
      <w:r w:rsidR="006912E2">
        <w:rPr>
          <w:rFonts w:ascii="Times New Roman" w:hAnsi="Times New Roman" w:cs="Times New Roman"/>
          <w:sz w:val="24"/>
          <w:szCs w:val="24"/>
        </w:rPr>
        <w:t xml:space="preserve">worksheet to reduce the potential for confusion in reading residual risk.  </w:t>
      </w:r>
    </w:p>
    <w:p w14:paraId="121B9469" w14:textId="77777777" w:rsidR="00985693" w:rsidRDefault="00985693" w:rsidP="00FF0924">
      <w:pPr>
        <w:spacing w:after="0" w:line="240" w:lineRule="auto"/>
        <w:rPr>
          <w:rFonts w:ascii="Times New Roman" w:hAnsi="Times New Roman" w:cs="Times New Roman"/>
          <w:b/>
          <w:sz w:val="24"/>
          <w:szCs w:val="24"/>
        </w:rPr>
      </w:pPr>
    </w:p>
    <w:p w14:paraId="4719296E" w14:textId="77777777" w:rsidR="00985693" w:rsidRPr="008B7460" w:rsidRDefault="002239AD" w:rsidP="00FF092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Estimating </w:t>
      </w:r>
      <w:r w:rsidR="008B7460">
        <w:rPr>
          <w:rFonts w:ascii="Times New Roman" w:hAnsi="Times New Roman" w:cs="Times New Roman"/>
          <w:b/>
          <w:sz w:val="24"/>
          <w:szCs w:val="24"/>
        </w:rPr>
        <w:t xml:space="preserve">the </w:t>
      </w:r>
      <w:r>
        <w:rPr>
          <w:rFonts w:ascii="Times New Roman" w:hAnsi="Times New Roman" w:cs="Times New Roman"/>
          <w:b/>
          <w:sz w:val="24"/>
          <w:szCs w:val="24"/>
        </w:rPr>
        <w:t>20-year recidivism risk and</w:t>
      </w:r>
      <w:r w:rsidR="00FA1952">
        <w:rPr>
          <w:rFonts w:ascii="Times New Roman" w:hAnsi="Times New Roman" w:cs="Times New Roman"/>
          <w:b/>
          <w:sz w:val="24"/>
          <w:szCs w:val="24"/>
        </w:rPr>
        <w:t xml:space="preserve"> risk reduction associated with the passage of sexual offense free time in the community </w:t>
      </w:r>
      <w:r>
        <w:rPr>
          <w:rFonts w:ascii="Times New Roman" w:hAnsi="Times New Roman" w:cs="Times New Roman"/>
          <w:b/>
          <w:sz w:val="24"/>
          <w:szCs w:val="24"/>
        </w:rPr>
        <w:t xml:space="preserve"> </w:t>
      </w:r>
    </w:p>
    <w:p w14:paraId="2B573E06" w14:textId="77777777" w:rsidR="00FA1952" w:rsidRDefault="00FA1952"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overall 20-year recidivism risk </w:t>
      </w:r>
      <w:r w:rsidR="00F8205F">
        <w:rPr>
          <w:rFonts w:ascii="Times New Roman" w:hAnsi="Times New Roman" w:cs="Times New Roman"/>
          <w:sz w:val="24"/>
          <w:szCs w:val="24"/>
        </w:rPr>
        <w:t>projection is</w:t>
      </w:r>
      <w:r w:rsidR="00883130">
        <w:rPr>
          <w:rFonts w:ascii="Times New Roman" w:hAnsi="Times New Roman" w:cs="Times New Roman"/>
          <w:sz w:val="24"/>
          <w:szCs w:val="24"/>
        </w:rPr>
        <w:t xml:space="preserve"> </w:t>
      </w:r>
      <w:r w:rsidR="00EB3FAF">
        <w:rPr>
          <w:rFonts w:ascii="Times New Roman" w:hAnsi="Times New Roman" w:cs="Times New Roman"/>
          <w:sz w:val="24"/>
          <w:szCs w:val="24"/>
        </w:rPr>
        <w:t>displayed in cell J5</w:t>
      </w:r>
      <w:r w:rsidR="00883130">
        <w:rPr>
          <w:rFonts w:ascii="Times New Roman" w:hAnsi="Times New Roman" w:cs="Times New Roman"/>
          <w:sz w:val="24"/>
          <w:szCs w:val="24"/>
        </w:rPr>
        <w:t xml:space="preserve"> </w:t>
      </w:r>
      <w:r w:rsidR="00EB3FAF">
        <w:rPr>
          <w:rFonts w:ascii="Times New Roman" w:hAnsi="Times New Roman" w:cs="Times New Roman"/>
          <w:sz w:val="24"/>
          <w:szCs w:val="24"/>
        </w:rPr>
        <w:t xml:space="preserve">of the </w:t>
      </w:r>
      <w:r>
        <w:rPr>
          <w:rFonts w:ascii="Times New Roman" w:hAnsi="Times New Roman" w:cs="Times New Roman"/>
          <w:sz w:val="24"/>
          <w:szCs w:val="24"/>
        </w:rPr>
        <w:t xml:space="preserve">Calculator </w:t>
      </w:r>
      <w:r w:rsidR="00883130">
        <w:rPr>
          <w:rFonts w:ascii="Times New Roman" w:hAnsi="Times New Roman" w:cs="Times New Roman"/>
          <w:sz w:val="24"/>
          <w:szCs w:val="24"/>
        </w:rPr>
        <w:t>tab/worksheet</w:t>
      </w:r>
      <w:r w:rsidR="00F8205F">
        <w:rPr>
          <w:rFonts w:ascii="Times New Roman" w:hAnsi="Times New Roman" w:cs="Times New Roman"/>
          <w:sz w:val="24"/>
          <w:szCs w:val="24"/>
        </w:rPr>
        <w:t>.  These</w:t>
      </w:r>
      <w:r>
        <w:rPr>
          <w:rFonts w:ascii="Times New Roman" w:hAnsi="Times New Roman" w:cs="Times New Roman"/>
          <w:sz w:val="24"/>
          <w:szCs w:val="24"/>
        </w:rPr>
        <w:t xml:space="preserve"> </w:t>
      </w:r>
      <w:r w:rsidR="00F8205F">
        <w:rPr>
          <w:rFonts w:ascii="Times New Roman" w:hAnsi="Times New Roman" w:cs="Times New Roman"/>
          <w:sz w:val="24"/>
          <w:szCs w:val="24"/>
        </w:rPr>
        <w:t>values</w:t>
      </w:r>
      <w:r w:rsidR="00EB3FAF">
        <w:rPr>
          <w:rFonts w:ascii="Times New Roman" w:hAnsi="Times New Roman" w:cs="Times New Roman"/>
          <w:sz w:val="24"/>
          <w:szCs w:val="24"/>
        </w:rPr>
        <w:t>, and the reduction of risk associated with time free in the community without reoffending sexually, are derived by calculations performed</w:t>
      </w:r>
      <w:r w:rsidR="00BA5999">
        <w:rPr>
          <w:rFonts w:ascii="Times New Roman" w:hAnsi="Times New Roman" w:cs="Times New Roman"/>
          <w:sz w:val="24"/>
          <w:szCs w:val="24"/>
        </w:rPr>
        <w:t xml:space="preserve"> in the “</w:t>
      </w:r>
      <w:proofErr w:type="spellStart"/>
      <w:r w:rsidR="00883130">
        <w:rPr>
          <w:rFonts w:ascii="Times New Roman" w:hAnsi="Times New Roman" w:cs="Times New Roman"/>
          <w:sz w:val="24"/>
          <w:szCs w:val="24"/>
        </w:rPr>
        <w:t>GH</w:t>
      </w:r>
      <w:r w:rsidR="00BA5999">
        <w:rPr>
          <w:rFonts w:ascii="Times New Roman" w:hAnsi="Times New Roman" w:cs="Times New Roman"/>
          <w:sz w:val="24"/>
          <w:szCs w:val="24"/>
        </w:rPr>
        <w:t>R_RecidRates</w:t>
      </w:r>
      <w:proofErr w:type="spellEnd"/>
      <w:r w:rsidR="00BA5999">
        <w:rPr>
          <w:rFonts w:ascii="Times New Roman" w:hAnsi="Times New Roman" w:cs="Times New Roman"/>
          <w:sz w:val="24"/>
          <w:szCs w:val="24"/>
        </w:rPr>
        <w:t>” and “</w:t>
      </w:r>
      <w:proofErr w:type="spellStart"/>
      <w:r w:rsidR="00883130">
        <w:rPr>
          <w:rFonts w:ascii="Times New Roman" w:hAnsi="Times New Roman" w:cs="Times New Roman"/>
          <w:sz w:val="24"/>
          <w:szCs w:val="24"/>
        </w:rPr>
        <w:t>G</w:t>
      </w:r>
      <w:r w:rsidR="00EB3FAF">
        <w:rPr>
          <w:rFonts w:ascii="Times New Roman" w:hAnsi="Times New Roman" w:cs="Times New Roman"/>
          <w:sz w:val="24"/>
          <w:szCs w:val="24"/>
        </w:rPr>
        <w:t>HR_</w:t>
      </w:r>
      <w:r w:rsidR="00883130">
        <w:rPr>
          <w:rFonts w:ascii="Times New Roman" w:hAnsi="Times New Roman" w:cs="Times New Roman"/>
          <w:sz w:val="24"/>
          <w:szCs w:val="24"/>
        </w:rPr>
        <w:t>NS_</w:t>
      </w:r>
      <w:r w:rsidR="00BA5999">
        <w:rPr>
          <w:rFonts w:ascii="Times New Roman" w:hAnsi="Times New Roman" w:cs="Times New Roman"/>
          <w:sz w:val="24"/>
          <w:szCs w:val="24"/>
        </w:rPr>
        <w:t>RecidRates</w:t>
      </w:r>
      <w:proofErr w:type="spellEnd"/>
      <w:r w:rsidR="00BA5999">
        <w:rPr>
          <w:rFonts w:ascii="Times New Roman" w:hAnsi="Times New Roman" w:cs="Times New Roman"/>
          <w:sz w:val="24"/>
          <w:szCs w:val="24"/>
        </w:rPr>
        <w:t>”</w:t>
      </w:r>
      <w:r w:rsidR="00EB3FAF">
        <w:rPr>
          <w:rFonts w:ascii="Times New Roman" w:hAnsi="Times New Roman" w:cs="Times New Roman"/>
          <w:sz w:val="24"/>
          <w:szCs w:val="24"/>
        </w:rPr>
        <w:t xml:space="preserve"> </w:t>
      </w:r>
      <w:r w:rsidR="00F8205F">
        <w:rPr>
          <w:rFonts w:ascii="Times New Roman" w:hAnsi="Times New Roman" w:cs="Times New Roman"/>
          <w:sz w:val="24"/>
          <w:szCs w:val="24"/>
        </w:rPr>
        <w:t>tab/</w:t>
      </w:r>
      <w:r w:rsidR="00EB3FAF">
        <w:rPr>
          <w:rFonts w:ascii="Times New Roman" w:hAnsi="Times New Roman" w:cs="Times New Roman"/>
          <w:sz w:val="24"/>
          <w:szCs w:val="24"/>
        </w:rPr>
        <w:t xml:space="preserve">worksheets.   Like the </w:t>
      </w:r>
      <w:r w:rsidR="00BA5999">
        <w:rPr>
          <w:rFonts w:ascii="Times New Roman" w:hAnsi="Times New Roman" w:cs="Times New Roman"/>
          <w:sz w:val="24"/>
          <w:szCs w:val="24"/>
        </w:rPr>
        <w:t>“</w:t>
      </w:r>
      <w:r w:rsidR="00EB3FAF">
        <w:rPr>
          <w:rFonts w:ascii="Times New Roman" w:hAnsi="Times New Roman" w:cs="Times New Roman"/>
          <w:sz w:val="24"/>
          <w:szCs w:val="24"/>
        </w:rPr>
        <w:t>Time Accounting</w:t>
      </w:r>
      <w:r w:rsidR="00BA5999">
        <w:rPr>
          <w:rFonts w:ascii="Times New Roman" w:hAnsi="Times New Roman" w:cs="Times New Roman"/>
          <w:sz w:val="24"/>
          <w:szCs w:val="24"/>
        </w:rPr>
        <w:t>”</w:t>
      </w:r>
      <w:r w:rsidR="00EB3FAF">
        <w:rPr>
          <w:rFonts w:ascii="Times New Roman" w:hAnsi="Times New Roman" w:cs="Times New Roman"/>
          <w:sz w:val="24"/>
          <w:szCs w:val="24"/>
        </w:rPr>
        <w:t xml:space="preserve"> </w:t>
      </w:r>
      <w:r w:rsidR="00F8205F">
        <w:rPr>
          <w:rFonts w:ascii="Times New Roman" w:hAnsi="Times New Roman" w:cs="Times New Roman"/>
          <w:sz w:val="24"/>
          <w:szCs w:val="24"/>
        </w:rPr>
        <w:t>tab/</w:t>
      </w:r>
      <w:r w:rsidR="00EB3FAF">
        <w:rPr>
          <w:rFonts w:ascii="Times New Roman" w:hAnsi="Times New Roman" w:cs="Times New Roman"/>
          <w:sz w:val="24"/>
          <w:szCs w:val="24"/>
        </w:rPr>
        <w:t>worksheet, all cells in both of these worksheets have been locked and password pr</w:t>
      </w:r>
      <w:r w:rsidR="00C850F2">
        <w:rPr>
          <w:rFonts w:ascii="Times New Roman" w:hAnsi="Times New Roman" w:cs="Times New Roman"/>
          <w:sz w:val="24"/>
          <w:szCs w:val="24"/>
        </w:rPr>
        <w:t xml:space="preserve">otected to prevent modification.  The formulas underlying the procedures and calculations conducted are </w:t>
      </w:r>
      <w:r w:rsidR="00BA5999">
        <w:rPr>
          <w:rFonts w:ascii="Times New Roman" w:hAnsi="Times New Roman" w:cs="Times New Roman"/>
          <w:sz w:val="24"/>
          <w:szCs w:val="24"/>
        </w:rPr>
        <w:t xml:space="preserve">explained below </w:t>
      </w:r>
      <w:r w:rsidR="00C850F2">
        <w:rPr>
          <w:rFonts w:ascii="Times New Roman" w:hAnsi="Times New Roman" w:cs="Times New Roman"/>
          <w:sz w:val="24"/>
          <w:szCs w:val="24"/>
        </w:rPr>
        <w:t xml:space="preserve">for users interested in understanding the mechanisms underlying discrete time survival analysis in greater depth.   </w:t>
      </w:r>
    </w:p>
    <w:p w14:paraId="4CF33695" w14:textId="77777777" w:rsidR="00985693" w:rsidRDefault="00985693" w:rsidP="00FF0924">
      <w:pPr>
        <w:spacing w:after="0" w:line="240" w:lineRule="auto"/>
        <w:rPr>
          <w:rFonts w:ascii="Times New Roman" w:hAnsi="Times New Roman" w:cs="Times New Roman"/>
          <w:sz w:val="24"/>
          <w:szCs w:val="24"/>
          <w:u w:val="single"/>
        </w:rPr>
      </w:pPr>
    </w:p>
    <w:p w14:paraId="2981DA22" w14:textId="77777777" w:rsidR="00EB3FAF" w:rsidRPr="00343A51" w:rsidRDefault="00EB3FAF" w:rsidP="00FF0924">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Hazard ra</w:t>
      </w:r>
      <w:r w:rsidR="00085627">
        <w:rPr>
          <w:rFonts w:ascii="Times New Roman" w:hAnsi="Times New Roman" w:cs="Times New Roman"/>
          <w:sz w:val="24"/>
          <w:szCs w:val="24"/>
          <w:u w:val="single"/>
        </w:rPr>
        <w:t>te models of</w:t>
      </w:r>
      <w:r>
        <w:rPr>
          <w:rFonts w:ascii="Times New Roman" w:hAnsi="Times New Roman" w:cs="Times New Roman"/>
          <w:sz w:val="24"/>
          <w:szCs w:val="24"/>
          <w:u w:val="single"/>
        </w:rPr>
        <w:t xml:space="preserve"> </w:t>
      </w:r>
      <w:r w:rsidR="0079580A">
        <w:rPr>
          <w:rFonts w:ascii="Times New Roman" w:hAnsi="Times New Roman" w:cs="Times New Roman"/>
          <w:sz w:val="24"/>
          <w:szCs w:val="24"/>
          <w:u w:val="single"/>
        </w:rPr>
        <w:t>predicted recidivism</w:t>
      </w:r>
    </w:p>
    <w:p w14:paraId="759A0252" w14:textId="77777777" w:rsidR="0079580A" w:rsidRDefault="00AE791E"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79580A">
        <w:rPr>
          <w:rFonts w:ascii="Times New Roman" w:hAnsi="Times New Roman" w:cs="Times New Roman"/>
          <w:sz w:val="24"/>
          <w:szCs w:val="24"/>
        </w:rPr>
        <w:t xml:space="preserve">he approach </w:t>
      </w:r>
      <w:r w:rsidR="00261C96">
        <w:rPr>
          <w:rFonts w:ascii="Times New Roman" w:hAnsi="Times New Roman" w:cs="Times New Roman"/>
          <w:sz w:val="24"/>
          <w:szCs w:val="24"/>
        </w:rPr>
        <w:t>to modeling recidivism risk applied in the present context is based on life</w:t>
      </w:r>
      <w:r>
        <w:rPr>
          <w:rFonts w:ascii="Times New Roman" w:hAnsi="Times New Roman" w:cs="Times New Roman"/>
          <w:sz w:val="24"/>
          <w:szCs w:val="24"/>
        </w:rPr>
        <w:t xml:space="preserve"> table survival analysis</w:t>
      </w:r>
      <w:r w:rsidR="00261C96">
        <w:rPr>
          <w:rFonts w:ascii="Times New Roman" w:hAnsi="Times New Roman" w:cs="Times New Roman"/>
          <w:sz w:val="24"/>
          <w:szCs w:val="24"/>
        </w:rPr>
        <w:t xml:space="preserve">.  </w:t>
      </w:r>
      <w:r w:rsidR="0079580A">
        <w:rPr>
          <w:rFonts w:ascii="Times New Roman" w:hAnsi="Times New Roman" w:cs="Times New Roman"/>
          <w:sz w:val="24"/>
          <w:szCs w:val="24"/>
        </w:rPr>
        <w:t>This</w:t>
      </w:r>
      <w:r w:rsidR="007528C4">
        <w:rPr>
          <w:rFonts w:ascii="Times New Roman" w:hAnsi="Times New Roman" w:cs="Times New Roman"/>
          <w:sz w:val="24"/>
          <w:szCs w:val="24"/>
        </w:rPr>
        <w:t xml:space="preserve"> method</w:t>
      </w:r>
      <w:r w:rsidR="00261C96">
        <w:rPr>
          <w:rFonts w:ascii="Times New Roman" w:hAnsi="Times New Roman" w:cs="Times New Roman"/>
          <w:sz w:val="24"/>
          <w:szCs w:val="24"/>
        </w:rPr>
        <w:t xml:space="preserve"> uses a</w:t>
      </w:r>
      <w:r w:rsidR="0079580A">
        <w:rPr>
          <w:rFonts w:ascii="Times New Roman" w:hAnsi="Times New Roman" w:cs="Times New Roman"/>
          <w:sz w:val="24"/>
          <w:szCs w:val="24"/>
        </w:rPr>
        <w:t xml:space="preserve"> </w:t>
      </w:r>
      <w:r w:rsidR="00261C96">
        <w:rPr>
          <w:rFonts w:ascii="Times New Roman" w:hAnsi="Times New Roman" w:cs="Times New Roman"/>
          <w:sz w:val="24"/>
          <w:szCs w:val="24"/>
        </w:rPr>
        <w:t xml:space="preserve">specified </w:t>
      </w:r>
      <w:r w:rsidRPr="00BA5999">
        <w:rPr>
          <w:rFonts w:ascii="Times New Roman" w:hAnsi="Times New Roman" w:cs="Times New Roman"/>
          <w:b/>
          <w:i/>
          <w:sz w:val="24"/>
          <w:szCs w:val="24"/>
          <w:u w:val="single"/>
        </w:rPr>
        <w:t>hazard rate</w:t>
      </w:r>
      <w:r>
        <w:rPr>
          <w:rFonts w:ascii="Times New Roman" w:hAnsi="Times New Roman" w:cs="Times New Roman"/>
          <w:sz w:val="24"/>
          <w:szCs w:val="24"/>
        </w:rPr>
        <w:t xml:space="preserve"> – the </w:t>
      </w:r>
      <w:r w:rsidR="0079580A">
        <w:rPr>
          <w:rFonts w:ascii="Times New Roman" w:hAnsi="Times New Roman" w:cs="Times New Roman"/>
          <w:sz w:val="24"/>
          <w:szCs w:val="24"/>
        </w:rPr>
        <w:t xml:space="preserve">number </w:t>
      </w:r>
      <w:r w:rsidR="00261C96">
        <w:rPr>
          <w:rFonts w:ascii="Times New Roman" w:hAnsi="Times New Roman" w:cs="Times New Roman"/>
          <w:sz w:val="24"/>
          <w:szCs w:val="24"/>
        </w:rPr>
        <w:t xml:space="preserve">of individuals </w:t>
      </w:r>
      <w:r w:rsidR="0079580A">
        <w:rPr>
          <w:rFonts w:ascii="Times New Roman" w:hAnsi="Times New Roman" w:cs="Times New Roman"/>
          <w:sz w:val="24"/>
          <w:szCs w:val="24"/>
        </w:rPr>
        <w:t>reoffending/total persons at risk to reoffend</w:t>
      </w:r>
      <w:r>
        <w:rPr>
          <w:rFonts w:ascii="Times New Roman" w:hAnsi="Times New Roman" w:cs="Times New Roman"/>
          <w:sz w:val="24"/>
          <w:szCs w:val="24"/>
        </w:rPr>
        <w:t xml:space="preserve"> over a specified period of time</w:t>
      </w:r>
      <w:r w:rsidR="00F8205F">
        <w:rPr>
          <w:rFonts w:ascii="Times New Roman" w:hAnsi="Times New Roman" w:cs="Times New Roman"/>
          <w:sz w:val="24"/>
          <w:szCs w:val="24"/>
        </w:rPr>
        <w:t xml:space="preserve"> (</w:t>
      </w:r>
      <w:r w:rsidR="00BA5999">
        <w:rPr>
          <w:rFonts w:ascii="Times New Roman" w:hAnsi="Times New Roman" w:cs="Times New Roman"/>
          <w:sz w:val="24"/>
          <w:szCs w:val="24"/>
        </w:rPr>
        <w:t xml:space="preserve">e.g., </w:t>
      </w:r>
      <w:r w:rsidR="00F8205F">
        <w:rPr>
          <w:rFonts w:ascii="Times New Roman" w:hAnsi="Times New Roman" w:cs="Times New Roman"/>
          <w:sz w:val="24"/>
          <w:szCs w:val="24"/>
        </w:rPr>
        <w:t>one year)</w:t>
      </w:r>
      <w:r>
        <w:rPr>
          <w:rFonts w:ascii="Times New Roman" w:hAnsi="Times New Roman" w:cs="Times New Roman"/>
          <w:sz w:val="24"/>
          <w:szCs w:val="24"/>
        </w:rPr>
        <w:t xml:space="preserve"> – to </w:t>
      </w:r>
      <w:r w:rsidR="00261C96">
        <w:rPr>
          <w:rFonts w:ascii="Times New Roman" w:hAnsi="Times New Roman" w:cs="Times New Roman"/>
          <w:sz w:val="24"/>
          <w:szCs w:val="24"/>
        </w:rPr>
        <w:t xml:space="preserve">model </w:t>
      </w:r>
      <w:r w:rsidR="0079580A">
        <w:rPr>
          <w:rFonts w:ascii="Times New Roman" w:hAnsi="Times New Roman" w:cs="Times New Roman"/>
          <w:sz w:val="24"/>
          <w:szCs w:val="24"/>
        </w:rPr>
        <w:t xml:space="preserve">how many individuals are removed from the population during a </w:t>
      </w:r>
      <w:r w:rsidR="00FD0B92">
        <w:rPr>
          <w:rFonts w:ascii="Times New Roman" w:hAnsi="Times New Roman" w:cs="Times New Roman"/>
          <w:sz w:val="24"/>
          <w:szCs w:val="24"/>
        </w:rPr>
        <w:t>particular interval</w:t>
      </w:r>
      <w:r w:rsidR="00781610">
        <w:rPr>
          <w:rFonts w:ascii="Times New Roman" w:hAnsi="Times New Roman" w:cs="Times New Roman"/>
          <w:sz w:val="24"/>
          <w:szCs w:val="24"/>
        </w:rPr>
        <w:t>.  This method estimates how</w:t>
      </w:r>
      <w:r w:rsidR="00261C96">
        <w:rPr>
          <w:rFonts w:ascii="Times New Roman" w:hAnsi="Times New Roman" w:cs="Times New Roman"/>
          <w:sz w:val="24"/>
          <w:szCs w:val="24"/>
        </w:rPr>
        <w:t xml:space="preserve"> many </w:t>
      </w:r>
      <w:r w:rsidR="00781610">
        <w:rPr>
          <w:rFonts w:ascii="Times New Roman" w:hAnsi="Times New Roman" w:cs="Times New Roman"/>
          <w:sz w:val="24"/>
          <w:szCs w:val="24"/>
        </w:rPr>
        <w:t xml:space="preserve">individuals </w:t>
      </w:r>
      <w:r w:rsidR="0079580A">
        <w:rPr>
          <w:rFonts w:ascii="Times New Roman" w:hAnsi="Times New Roman" w:cs="Times New Roman"/>
          <w:sz w:val="24"/>
          <w:szCs w:val="24"/>
        </w:rPr>
        <w:t>recidivate in a given year</w:t>
      </w:r>
      <w:r w:rsidR="00FD0B92">
        <w:rPr>
          <w:rFonts w:ascii="Times New Roman" w:hAnsi="Times New Roman" w:cs="Times New Roman"/>
          <w:sz w:val="24"/>
          <w:szCs w:val="24"/>
        </w:rPr>
        <w:t xml:space="preserve">, </w:t>
      </w:r>
      <w:r w:rsidR="0079580A">
        <w:rPr>
          <w:rFonts w:ascii="Times New Roman" w:hAnsi="Times New Roman" w:cs="Times New Roman"/>
          <w:sz w:val="24"/>
          <w:szCs w:val="24"/>
        </w:rPr>
        <w:t>and how many</w:t>
      </w:r>
      <w:r w:rsidR="00573148">
        <w:rPr>
          <w:rFonts w:ascii="Times New Roman" w:hAnsi="Times New Roman" w:cs="Times New Roman"/>
          <w:sz w:val="24"/>
          <w:szCs w:val="24"/>
        </w:rPr>
        <w:t xml:space="preserve"> “survive” to the next </w:t>
      </w:r>
      <w:r w:rsidR="0079580A">
        <w:rPr>
          <w:rFonts w:ascii="Times New Roman" w:hAnsi="Times New Roman" w:cs="Times New Roman"/>
          <w:sz w:val="24"/>
          <w:szCs w:val="24"/>
        </w:rPr>
        <w:t>interval</w:t>
      </w:r>
      <w:r w:rsidR="00781610">
        <w:rPr>
          <w:rFonts w:ascii="Times New Roman" w:hAnsi="Times New Roman" w:cs="Times New Roman"/>
          <w:sz w:val="24"/>
          <w:szCs w:val="24"/>
        </w:rPr>
        <w:t>/year</w:t>
      </w:r>
      <w:r w:rsidR="00573148">
        <w:rPr>
          <w:rFonts w:ascii="Times New Roman" w:hAnsi="Times New Roman" w:cs="Times New Roman"/>
          <w:sz w:val="24"/>
          <w:szCs w:val="24"/>
        </w:rPr>
        <w:t xml:space="preserve"> </w:t>
      </w:r>
      <w:r w:rsidR="007528C4">
        <w:rPr>
          <w:rFonts w:ascii="Times New Roman" w:hAnsi="Times New Roman" w:cs="Times New Roman"/>
          <w:sz w:val="24"/>
          <w:szCs w:val="24"/>
        </w:rPr>
        <w:t>and remain at</w:t>
      </w:r>
      <w:r w:rsidR="00261C96">
        <w:rPr>
          <w:rFonts w:ascii="Times New Roman" w:hAnsi="Times New Roman" w:cs="Times New Roman"/>
          <w:sz w:val="24"/>
          <w:szCs w:val="24"/>
        </w:rPr>
        <w:t xml:space="preserve"> risk to </w:t>
      </w:r>
      <w:r w:rsidR="007528C4">
        <w:rPr>
          <w:rFonts w:ascii="Times New Roman" w:hAnsi="Times New Roman" w:cs="Times New Roman"/>
          <w:sz w:val="24"/>
          <w:szCs w:val="24"/>
        </w:rPr>
        <w:t xml:space="preserve">potentially </w:t>
      </w:r>
      <w:r w:rsidR="00261C96">
        <w:rPr>
          <w:rFonts w:ascii="Times New Roman" w:hAnsi="Times New Roman" w:cs="Times New Roman"/>
          <w:sz w:val="24"/>
          <w:szCs w:val="24"/>
        </w:rPr>
        <w:t>reoffend sexually</w:t>
      </w:r>
      <w:r w:rsidR="00FD0B92">
        <w:rPr>
          <w:rFonts w:ascii="Times New Roman" w:hAnsi="Times New Roman" w:cs="Times New Roman"/>
          <w:sz w:val="24"/>
          <w:szCs w:val="24"/>
        </w:rPr>
        <w:t xml:space="preserve"> the following year</w:t>
      </w:r>
      <w:r w:rsidR="0079580A">
        <w:rPr>
          <w:rFonts w:ascii="Times New Roman" w:hAnsi="Times New Roman" w:cs="Times New Roman"/>
          <w:sz w:val="24"/>
          <w:szCs w:val="24"/>
        </w:rPr>
        <w:t>.</w:t>
      </w:r>
    </w:p>
    <w:p w14:paraId="3057F7EE" w14:textId="77777777" w:rsidR="00AE791E" w:rsidRDefault="00AE791E" w:rsidP="00FF0924">
      <w:pPr>
        <w:spacing w:after="0" w:line="240" w:lineRule="auto"/>
        <w:rPr>
          <w:rFonts w:ascii="Times New Roman" w:hAnsi="Times New Roman" w:cs="Times New Roman"/>
          <w:sz w:val="24"/>
          <w:szCs w:val="24"/>
        </w:rPr>
      </w:pPr>
    </w:p>
    <w:p w14:paraId="39CF2DEB" w14:textId="5924CF10" w:rsidR="00431582" w:rsidRDefault="00AE791E"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Recidivism rates </w:t>
      </w:r>
      <w:r w:rsidR="00FD0B92">
        <w:rPr>
          <w:rFonts w:ascii="Times New Roman" w:hAnsi="Times New Roman" w:cs="Times New Roman"/>
          <w:sz w:val="24"/>
          <w:szCs w:val="24"/>
        </w:rPr>
        <w:t>(</w:t>
      </w:r>
      <w:r w:rsidR="00BA5999">
        <w:rPr>
          <w:rFonts w:ascii="Times New Roman" w:hAnsi="Times New Roman" w:cs="Times New Roman"/>
          <w:sz w:val="24"/>
          <w:szCs w:val="24"/>
        </w:rPr>
        <w:t>“</w:t>
      </w:r>
      <w:r w:rsidR="00FD0B92">
        <w:rPr>
          <w:rFonts w:ascii="Times New Roman" w:hAnsi="Times New Roman" w:cs="Times New Roman"/>
          <w:sz w:val="24"/>
          <w:szCs w:val="24"/>
        </w:rPr>
        <w:t>Calculator</w:t>
      </w:r>
      <w:r w:rsidR="00BA5999">
        <w:rPr>
          <w:rFonts w:ascii="Times New Roman" w:hAnsi="Times New Roman" w:cs="Times New Roman"/>
          <w:sz w:val="24"/>
          <w:szCs w:val="24"/>
        </w:rPr>
        <w:t>”</w:t>
      </w:r>
      <w:r w:rsidR="00FD0B92">
        <w:rPr>
          <w:rFonts w:ascii="Times New Roman" w:hAnsi="Times New Roman" w:cs="Times New Roman"/>
          <w:sz w:val="24"/>
          <w:szCs w:val="24"/>
        </w:rPr>
        <w:t xml:space="preserve"> tab, cell B5) </w:t>
      </w:r>
      <w:r>
        <w:rPr>
          <w:rFonts w:ascii="Times New Roman" w:hAnsi="Times New Roman" w:cs="Times New Roman"/>
          <w:sz w:val="24"/>
          <w:szCs w:val="24"/>
        </w:rPr>
        <w:t xml:space="preserve">after </w:t>
      </w:r>
      <w:r w:rsidR="00FD0B92">
        <w:rPr>
          <w:rFonts w:ascii="Times New Roman" w:hAnsi="Times New Roman" w:cs="Times New Roman"/>
          <w:sz w:val="24"/>
          <w:szCs w:val="24"/>
        </w:rPr>
        <w:t xml:space="preserve">a </w:t>
      </w:r>
      <w:r>
        <w:rPr>
          <w:rFonts w:ascii="Times New Roman" w:hAnsi="Times New Roman" w:cs="Times New Roman"/>
          <w:sz w:val="24"/>
          <w:szCs w:val="24"/>
        </w:rPr>
        <w:t xml:space="preserve">specified </w:t>
      </w:r>
      <w:r w:rsidR="00FD0B92">
        <w:rPr>
          <w:rFonts w:ascii="Times New Roman" w:hAnsi="Times New Roman" w:cs="Times New Roman"/>
          <w:sz w:val="24"/>
          <w:szCs w:val="24"/>
        </w:rPr>
        <w:t>number of years</w:t>
      </w:r>
      <w:r>
        <w:rPr>
          <w:rFonts w:ascii="Times New Roman" w:hAnsi="Times New Roman" w:cs="Times New Roman"/>
          <w:sz w:val="24"/>
          <w:szCs w:val="24"/>
        </w:rPr>
        <w:t xml:space="preserve"> </w:t>
      </w:r>
      <w:r w:rsidR="00FD0B92">
        <w:rPr>
          <w:rFonts w:ascii="Times New Roman" w:hAnsi="Times New Roman" w:cs="Times New Roman"/>
          <w:sz w:val="24"/>
          <w:szCs w:val="24"/>
        </w:rPr>
        <w:t>following release (</w:t>
      </w:r>
      <w:r w:rsidR="00BA5999">
        <w:rPr>
          <w:rFonts w:ascii="Times New Roman" w:hAnsi="Times New Roman" w:cs="Times New Roman"/>
          <w:sz w:val="24"/>
          <w:szCs w:val="24"/>
        </w:rPr>
        <w:t>“</w:t>
      </w:r>
      <w:r w:rsidR="00FD0B92">
        <w:rPr>
          <w:rFonts w:ascii="Times New Roman" w:hAnsi="Times New Roman" w:cs="Times New Roman"/>
          <w:sz w:val="24"/>
          <w:szCs w:val="24"/>
        </w:rPr>
        <w:t>Calculator</w:t>
      </w:r>
      <w:r w:rsidR="00BA5999">
        <w:rPr>
          <w:rFonts w:ascii="Times New Roman" w:hAnsi="Times New Roman" w:cs="Times New Roman"/>
          <w:sz w:val="24"/>
          <w:szCs w:val="24"/>
        </w:rPr>
        <w:t>”</w:t>
      </w:r>
      <w:r w:rsidR="00FD0B92">
        <w:rPr>
          <w:rFonts w:ascii="Times New Roman" w:hAnsi="Times New Roman" w:cs="Times New Roman"/>
          <w:sz w:val="24"/>
          <w:szCs w:val="24"/>
        </w:rPr>
        <w:t xml:space="preserve"> tab, cell B6) </w:t>
      </w:r>
      <w:r w:rsidR="002035CD">
        <w:rPr>
          <w:rFonts w:ascii="Times New Roman" w:hAnsi="Times New Roman" w:cs="Times New Roman"/>
          <w:sz w:val="24"/>
          <w:szCs w:val="24"/>
        </w:rPr>
        <w:t xml:space="preserve">may be estimated from </w:t>
      </w:r>
      <w:r w:rsidR="00613C9D">
        <w:rPr>
          <w:rFonts w:ascii="Times New Roman" w:hAnsi="Times New Roman" w:cs="Times New Roman"/>
          <w:sz w:val="24"/>
          <w:szCs w:val="24"/>
        </w:rPr>
        <w:t>any source</w:t>
      </w:r>
      <w:r w:rsidR="00895F1E">
        <w:rPr>
          <w:rFonts w:ascii="Times New Roman" w:hAnsi="Times New Roman" w:cs="Times New Roman"/>
          <w:sz w:val="24"/>
          <w:szCs w:val="24"/>
        </w:rPr>
        <w:t xml:space="preserve">.  </w:t>
      </w:r>
      <w:r w:rsidR="00613C9D">
        <w:rPr>
          <w:rFonts w:ascii="Times New Roman" w:hAnsi="Times New Roman" w:cs="Times New Roman"/>
          <w:sz w:val="24"/>
          <w:szCs w:val="24"/>
        </w:rPr>
        <w:t>For example, t</w:t>
      </w:r>
      <w:r w:rsidR="001B243D">
        <w:rPr>
          <w:rFonts w:ascii="Times New Roman" w:hAnsi="Times New Roman" w:cs="Times New Roman"/>
          <w:sz w:val="24"/>
          <w:szCs w:val="24"/>
        </w:rPr>
        <w:t>he 2021</w:t>
      </w:r>
      <w:r w:rsidR="00573148">
        <w:rPr>
          <w:rFonts w:ascii="Times New Roman" w:hAnsi="Times New Roman" w:cs="Times New Roman"/>
          <w:sz w:val="24"/>
          <w:szCs w:val="24"/>
        </w:rPr>
        <w:t xml:space="preserve"> Static-99R and Static-2002R Evaluators’ Workbook (Phenix</w:t>
      </w:r>
      <w:r w:rsidR="00867F51">
        <w:rPr>
          <w:rFonts w:ascii="Times New Roman" w:hAnsi="Times New Roman" w:cs="Times New Roman"/>
          <w:sz w:val="24"/>
          <w:szCs w:val="24"/>
        </w:rPr>
        <w:t xml:space="preserve"> et al.</w:t>
      </w:r>
      <w:r w:rsidR="00573148">
        <w:rPr>
          <w:rFonts w:ascii="Times New Roman" w:hAnsi="Times New Roman" w:cs="Times New Roman"/>
          <w:sz w:val="24"/>
          <w:szCs w:val="24"/>
        </w:rPr>
        <w:t>, 2016) provide</w:t>
      </w:r>
      <w:r w:rsidR="004D1219">
        <w:rPr>
          <w:rFonts w:ascii="Times New Roman" w:hAnsi="Times New Roman" w:cs="Times New Roman"/>
          <w:sz w:val="24"/>
          <w:szCs w:val="24"/>
        </w:rPr>
        <w:t>s</w:t>
      </w:r>
      <w:r w:rsidR="00573148">
        <w:rPr>
          <w:rFonts w:ascii="Times New Roman" w:hAnsi="Times New Roman" w:cs="Times New Roman"/>
          <w:sz w:val="24"/>
          <w:szCs w:val="24"/>
        </w:rPr>
        <w:t xml:space="preserve"> predicted 5-year recidivism rates for individuals with Static-99R scores from -3 to 10 referenced </w:t>
      </w:r>
      <w:r w:rsidR="00431582">
        <w:rPr>
          <w:rFonts w:ascii="Times New Roman" w:hAnsi="Times New Roman" w:cs="Times New Roman"/>
          <w:sz w:val="24"/>
          <w:szCs w:val="24"/>
        </w:rPr>
        <w:t xml:space="preserve">to </w:t>
      </w:r>
      <w:r w:rsidR="00FD0B92">
        <w:rPr>
          <w:rFonts w:ascii="Times New Roman" w:hAnsi="Times New Roman" w:cs="Times New Roman"/>
          <w:sz w:val="24"/>
          <w:szCs w:val="24"/>
        </w:rPr>
        <w:t xml:space="preserve">the </w:t>
      </w:r>
      <w:r w:rsidR="00573148">
        <w:rPr>
          <w:rFonts w:ascii="Times New Roman" w:hAnsi="Times New Roman" w:cs="Times New Roman"/>
          <w:sz w:val="24"/>
          <w:szCs w:val="24"/>
        </w:rPr>
        <w:t>Rou</w:t>
      </w:r>
      <w:r w:rsidR="00781610">
        <w:rPr>
          <w:rFonts w:ascii="Times New Roman" w:hAnsi="Times New Roman" w:cs="Times New Roman"/>
          <w:sz w:val="24"/>
          <w:szCs w:val="24"/>
        </w:rPr>
        <w:t>tine</w:t>
      </w:r>
      <w:r w:rsidR="00FD0B92">
        <w:rPr>
          <w:rFonts w:ascii="Times New Roman" w:hAnsi="Times New Roman" w:cs="Times New Roman"/>
          <w:sz w:val="24"/>
          <w:szCs w:val="24"/>
        </w:rPr>
        <w:t xml:space="preserve"> sample, and Static-99R scores from -1 to 10 </w:t>
      </w:r>
      <w:r w:rsidR="002C0503">
        <w:rPr>
          <w:rFonts w:ascii="Times New Roman" w:hAnsi="Times New Roman" w:cs="Times New Roman"/>
          <w:sz w:val="24"/>
          <w:szCs w:val="24"/>
        </w:rPr>
        <w:t>referenced to the</w:t>
      </w:r>
      <w:r w:rsidR="00613C9D">
        <w:rPr>
          <w:rFonts w:ascii="Times New Roman" w:hAnsi="Times New Roman" w:cs="Times New Roman"/>
          <w:sz w:val="24"/>
          <w:szCs w:val="24"/>
        </w:rPr>
        <w:t xml:space="preserve"> High Risk</w:t>
      </w:r>
      <w:r w:rsidR="00867F51">
        <w:rPr>
          <w:rFonts w:ascii="Times New Roman" w:hAnsi="Times New Roman" w:cs="Times New Roman"/>
          <w:sz w:val="24"/>
          <w:szCs w:val="24"/>
        </w:rPr>
        <w:t>/</w:t>
      </w:r>
      <w:r w:rsidR="00613C9D">
        <w:rPr>
          <w:rFonts w:ascii="Times New Roman" w:hAnsi="Times New Roman" w:cs="Times New Roman"/>
          <w:sz w:val="24"/>
          <w:szCs w:val="24"/>
        </w:rPr>
        <w:t xml:space="preserve">High Need </w:t>
      </w:r>
      <w:r w:rsidR="002C0503">
        <w:rPr>
          <w:rFonts w:ascii="Times New Roman" w:hAnsi="Times New Roman" w:cs="Times New Roman"/>
          <w:sz w:val="24"/>
          <w:szCs w:val="24"/>
        </w:rPr>
        <w:t>(HRHN) sample</w:t>
      </w:r>
      <w:r w:rsidR="00431582">
        <w:rPr>
          <w:rFonts w:ascii="Times New Roman" w:hAnsi="Times New Roman" w:cs="Times New Roman"/>
          <w:sz w:val="24"/>
          <w:szCs w:val="24"/>
        </w:rPr>
        <w:t>.  I</w:t>
      </w:r>
      <w:r w:rsidR="00573148">
        <w:rPr>
          <w:rFonts w:ascii="Times New Roman" w:hAnsi="Times New Roman" w:cs="Times New Roman"/>
          <w:sz w:val="24"/>
          <w:szCs w:val="24"/>
        </w:rPr>
        <w:t xml:space="preserve">ndividuals with a Static-99R score of 5 </w:t>
      </w:r>
      <w:r w:rsidR="00431582">
        <w:rPr>
          <w:rFonts w:ascii="Times New Roman" w:hAnsi="Times New Roman" w:cs="Times New Roman"/>
          <w:sz w:val="24"/>
          <w:szCs w:val="24"/>
        </w:rPr>
        <w:t xml:space="preserve">who are </w:t>
      </w:r>
      <w:r w:rsidR="00573148">
        <w:rPr>
          <w:rFonts w:ascii="Times New Roman" w:hAnsi="Times New Roman" w:cs="Times New Roman"/>
          <w:sz w:val="24"/>
          <w:szCs w:val="24"/>
        </w:rPr>
        <w:t xml:space="preserve">most </w:t>
      </w:r>
      <w:r w:rsidR="004D1219">
        <w:rPr>
          <w:rFonts w:ascii="Times New Roman" w:hAnsi="Times New Roman" w:cs="Times New Roman"/>
          <w:sz w:val="24"/>
          <w:szCs w:val="24"/>
        </w:rPr>
        <w:t xml:space="preserve">reflective of </w:t>
      </w:r>
      <w:r w:rsidR="00573148">
        <w:rPr>
          <w:rFonts w:ascii="Times New Roman" w:hAnsi="Times New Roman" w:cs="Times New Roman"/>
          <w:sz w:val="24"/>
          <w:szCs w:val="24"/>
        </w:rPr>
        <w:t xml:space="preserve">Routine sex offender </w:t>
      </w:r>
      <w:r w:rsidR="00895F1E">
        <w:rPr>
          <w:rFonts w:ascii="Times New Roman" w:hAnsi="Times New Roman" w:cs="Times New Roman"/>
          <w:sz w:val="24"/>
          <w:szCs w:val="24"/>
        </w:rPr>
        <w:t>samples</w:t>
      </w:r>
      <w:r w:rsidR="00573148">
        <w:rPr>
          <w:rFonts w:ascii="Times New Roman" w:hAnsi="Times New Roman" w:cs="Times New Roman"/>
          <w:sz w:val="24"/>
          <w:szCs w:val="24"/>
        </w:rPr>
        <w:t xml:space="preserve"> </w:t>
      </w:r>
      <w:r w:rsidR="00FF0924">
        <w:rPr>
          <w:rFonts w:ascii="Times New Roman" w:hAnsi="Times New Roman" w:cs="Times New Roman"/>
          <w:sz w:val="24"/>
          <w:szCs w:val="24"/>
        </w:rPr>
        <w:t>have a predicted reci</w:t>
      </w:r>
      <w:r w:rsidR="0091142C">
        <w:rPr>
          <w:rFonts w:ascii="Times New Roman" w:hAnsi="Times New Roman" w:cs="Times New Roman"/>
          <w:sz w:val="24"/>
          <w:szCs w:val="24"/>
        </w:rPr>
        <w:t>divism risk of 15.2 percent</w:t>
      </w:r>
      <w:r w:rsidR="00781610">
        <w:rPr>
          <w:rFonts w:ascii="Times New Roman" w:hAnsi="Times New Roman" w:cs="Times New Roman"/>
          <w:sz w:val="24"/>
          <w:szCs w:val="24"/>
        </w:rPr>
        <w:t xml:space="preserve"> at 5 years</w:t>
      </w:r>
      <w:r w:rsidR="00431582">
        <w:rPr>
          <w:rFonts w:ascii="Times New Roman" w:hAnsi="Times New Roman" w:cs="Times New Roman"/>
          <w:sz w:val="24"/>
          <w:szCs w:val="24"/>
        </w:rPr>
        <w:t>; i</w:t>
      </w:r>
      <w:r w:rsidR="00613C9D">
        <w:rPr>
          <w:rFonts w:ascii="Times New Roman" w:hAnsi="Times New Roman" w:cs="Times New Roman"/>
          <w:sz w:val="24"/>
          <w:szCs w:val="24"/>
        </w:rPr>
        <w:t>ndividuals</w:t>
      </w:r>
      <w:r w:rsidR="00431582">
        <w:rPr>
          <w:rFonts w:ascii="Times New Roman" w:hAnsi="Times New Roman" w:cs="Times New Roman"/>
          <w:sz w:val="24"/>
          <w:szCs w:val="24"/>
        </w:rPr>
        <w:t xml:space="preserve"> with the same Static-99R score</w:t>
      </w:r>
      <w:r w:rsidR="00613C9D">
        <w:rPr>
          <w:rFonts w:ascii="Times New Roman" w:hAnsi="Times New Roman" w:cs="Times New Roman"/>
          <w:sz w:val="24"/>
          <w:szCs w:val="24"/>
        </w:rPr>
        <w:t xml:space="preserve"> but more similar to HRHN samples </w:t>
      </w:r>
      <w:r w:rsidR="00431582">
        <w:rPr>
          <w:rFonts w:ascii="Times New Roman" w:hAnsi="Times New Roman" w:cs="Times New Roman"/>
          <w:sz w:val="24"/>
          <w:szCs w:val="24"/>
        </w:rPr>
        <w:t xml:space="preserve">would </w:t>
      </w:r>
      <w:r w:rsidR="00613C9D">
        <w:rPr>
          <w:rFonts w:ascii="Times New Roman" w:hAnsi="Times New Roman" w:cs="Times New Roman"/>
          <w:sz w:val="24"/>
          <w:szCs w:val="24"/>
        </w:rPr>
        <w:t>have pr</w:t>
      </w:r>
      <w:r w:rsidR="0091142C">
        <w:rPr>
          <w:rFonts w:ascii="Times New Roman" w:hAnsi="Times New Roman" w:cs="Times New Roman"/>
          <w:sz w:val="24"/>
          <w:szCs w:val="24"/>
        </w:rPr>
        <w:t>edicted recidivism risks of 21.2 and 32.1 percent</w:t>
      </w:r>
      <w:r w:rsidR="00613C9D">
        <w:rPr>
          <w:rFonts w:ascii="Times New Roman" w:hAnsi="Times New Roman" w:cs="Times New Roman"/>
          <w:sz w:val="24"/>
          <w:szCs w:val="24"/>
        </w:rPr>
        <w:t xml:space="preserve"> after 5 and 10 years, resp</w:t>
      </w:r>
      <w:r w:rsidR="00431582">
        <w:rPr>
          <w:rFonts w:ascii="Times New Roman" w:hAnsi="Times New Roman" w:cs="Times New Roman"/>
          <w:sz w:val="24"/>
          <w:szCs w:val="24"/>
        </w:rPr>
        <w:t xml:space="preserve">ectively.  </w:t>
      </w:r>
      <w:r w:rsidR="00895F1E">
        <w:rPr>
          <w:rFonts w:ascii="Times New Roman" w:hAnsi="Times New Roman" w:cs="Times New Roman"/>
          <w:sz w:val="24"/>
          <w:szCs w:val="24"/>
        </w:rPr>
        <w:t>I</w:t>
      </w:r>
      <w:r w:rsidR="00DE2451">
        <w:rPr>
          <w:rFonts w:ascii="Times New Roman" w:hAnsi="Times New Roman" w:cs="Times New Roman"/>
          <w:sz w:val="24"/>
          <w:szCs w:val="24"/>
        </w:rPr>
        <w:t xml:space="preserve">ndividuals with Static-99R scores of 7 </w:t>
      </w:r>
      <w:r w:rsidR="008C4C0A">
        <w:rPr>
          <w:rFonts w:ascii="Times New Roman" w:hAnsi="Times New Roman" w:cs="Times New Roman"/>
          <w:sz w:val="24"/>
          <w:szCs w:val="24"/>
        </w:rPr>
        <w:t xml:space="preserve">with characteristics similar to Routine samples </w:t>
      </w:r>
      <w:r w:rsidR="00DE2451">
        <w:rPr>
          <w:rFonts w:ascii="Times New Roman" w:hAnsi="Times New Roman" w:cs="Times New Roman"/>
          <w:sz w:val="24"/>
          <w:szCs w:val="24"/>
        </w:rPr>
        <w:t xml:space="preserve">should predict a 5-year sexual recidivism rate of </w:t>
      </w:r>
      <w:r w:rsidR="00DE2451">
        <w:rPr>
          <w:rFonts w:ascii="Times New Roman" w:hAnsi="Times New Roman" w:cs="Times New Roman"/>
          <w:sz w:val="24"/>
          <w:szCs w:val="24"/>
        </w:rPr>
        <w:lastRenderedPageBreak/>
        <w:t xml:space="preserve">27.2%.  </w:t>
      </w:r>
      <w:r w:rsidR="00895F1E">
        <w:rPr>
          <w:rFonts w:ascii="Times New Roman" w:hAnsi="Times New Roman" w:cs="Times New Roman"/>
          <w:sz w:val="24"/>
          <w:szCs w:val="24"/>
        </w:rPr>
        <w:t xml:space="preserve">These would be the values </w:t>
      </w:r>
      <w:r w:rsidR="00431582">
        <w:rPr>
          <w:rFonts w:ascii="Times New Roman" w:hAnsi="Times New Roman" w:cs="Times New Roman"/>
          <w:sz w:val="24"/>
          <w:szCs w:val="24"/>
        </w:rPr>
        <w:t xml:space="preserve">entered in cells B5 and B6 of the </w:t>
      </w:r>
      <w:r w:rsidR="00BA5999">
        <w:rPr>
          <w:rFonts w:ascii="Times New Roman" w:hAnsi="Times New Roman" w:cs="Times New Roman"/>
          <w:sz w:val="24"/>
          <w:szCs w:val="24"/>
        </w:rPr>
        <w:t>“</w:t>
      </w:r>
      <w:r w:rsidR="00EA5B2A">
        <w:rPr>
          <w:rFonts w:ascii="Times New Roman" w:hAnsi="Times New Roman" w:cs="Times New Roman"/>
          <w:sz w:val="24"/>
          <w:szCs w:val="24"/>
        </w:rPr>
        <w:t>C</w:t>
      </w:r>
      <w:r w:rsidR="00431582">
        <w:rPr>
          <w:rFonts w:ascii="Times New Roman" w:hAnsi="Times New Roman" w:cs="Times New Roman"/>
          <w:sz w:val="24"/>
          <w:szCs w:val="24"/>
        </w:rPr>
        <w:t>alculator</w:t>
      </w:r>
      <w:r w:rsidR="00BA5999">
        <w:rPr>
          <w:rFonts w:ascii="Times New Roman" w:hAnsi="Times New Roman" w:cs="Times New Roman"/>
          <w:sz w:val="24"/>
          <w:szCs w:val="24"/>
        </w:rPr>
        <w:t>”</w:t>
      </w:r>
      <w:r w:rsidR="00EA5B2A">
        <w:rPr>
          <w:rFonts w:ascii="Times New Roman" w:hAnsi="Times New Roman" w:cs="Times New Roman"/>
          <w:sz w:val="24"/>
          <w:szCs w:val="24"/>
        </w:rPr>
        <w:t xml:space="preserve"> tab/worksheet</w:t>
      </w:r>
      <w:r w:rsidR="00431582">
        <w:rPr>
          <w:rFonts w:ascii="Times New Roman" w:hAnsi="Times New Roman" w:cs="Times New Roman"/>
          <w:sz w:val="24"/>
          <w:szCs w:val="24"/>
        </w:rPr>
        <w:t xml:space="preserve">.  </w:t>
      </w:r>
      <w:r w:rsidR="00431582">
        <w:rPr>
          <w:rFonts w:ascii="Times New Roman" w:hAnsi="Times New Roman" w:cs="Times New Roman"/>
          <w:b/>
          <w:sz w:val="24"/>
          <w:szCs w:val="24"/>
        </w:rPr>
        <w:t xml:space="preserve">NOTE: </w:t>
      </w:r>
      <w:r w:rsidR="00473368">
        <w:rPr>
          <w:rFonts w:ascii="Times New Roman" w:hAnsi="Times New Roman" w:cs="Times New Roman"/>
          <w:b/>
          <w:sz w:val="24"/>
          <w:szCs w:val="24"/>
        </w:rPr>
        <w:t>The value entered into</w:t>
      </w:r>
      <w:r w:rsidR="00EA5B2A">
        <w:rPr>
          <w:rFonts w:ascii="Times New Roman" w:hAnsi="Times New Roman" w:cs="Times New Roman"/>
          <w:b/>
          <w:sz w:val="24"/>
          <w:szCs w:val="24"/>
        </w:rPr>
        <w:t xml:space="preserve"> the ‘Recidivism R</w:t>
      </w:r>
      <w:r w:rsidR="00473368">
        <w:rPr>
          <w:rFonts w:ascii="Times New Roman" w:hAnsi="Times New Roman" w:cs="Times New Roman"/>
          <w:b/>
          <w:sz w:val="24"/>
          <w:szCs w:val="24"/>
        </w:rPr>
        <w:t>isk</w:t>
      </w:r>
      <w:r w:rsidR="00EA5B2A">
        <w:rPr>
          <w:rFonts w:ascii="Times New Roman" w:hAnsi="Times New Roman" w:cs="Times New Roman"/>
          <w:b/>
          <w:sz w:val="24"/>
          <w:szCs w:val="24"/>
        </w:rPr>
        <w:t>?’</w:t>
      </w:r>
      <w:r w:rsidR="00473368">
        <w:rPr>
          <w:rFonts w:ascii="Times New Roman" w:hAnsi="Times New Roman" w:cs="Times New Roman"/>
          <w:b/>
          <w:sz w:val="24"/>
          <w:szCs w:val="24"/>
        </w:rPr>
        <w:t xml:space="preserve"> field (cell B5) must </w:t>
      </w:r>
      <w:r w:rsidR="00EA5B2A">
        <w:rPr>
          <w:rFonts w:ascii="Times New Roman" w:hAnsi="Times New Roman" w:cs="Times New Roman"/>
          <w:b/>
          <w:sz w:val="24"/>
          <w:szCs w:val="24"/>
        </w:rPr>
        <w:t>a positive number between 0 and 100</w:t>
      </w:r>
      <w:r w:rsidR="00663911">
        <w:rPr>
          <w:rFonts w:ascii="Times New Roman" w:hAnsi="Times New Roman" w:cs="Times New Roman"/>
          <w:b/>
          <w:sz w:val="24"/>
          <w:szCs w:val="24"/>
        </w:rPr>
        <w:t xml:space="preserve">.  Do not include </w:t>
      </w:r>
      <w:r w:rsidR="00FF475F">
        <w:rPr>
          <w:rFonts w:ascii="Times New Roman" w:hAnsi="Times New Roman" w:cs="Times New Roman"/>
          <w:b/>
          <w:sz w:val="24"/>
          <w:szCs w:val="24"/>
        </w:rPr>
        <w:t>the</w:t>
      </w:r>
      <w:r w:rsidR="00C31075">
        <w:rPr>
          <w:rFonts w:ascii="Times New Roman" w:hAnsi="Times New Roman" w:cs="Times New Roman"/>
          <w:b/>
          <w:sz w:val="24"/>
          <w:szCs w:val="24"/>
        </w:rPr>
        <w:t xml:space="preserve"> </w:t>
      </w:r>
      <w:r w:rsidR="00663911">
        <w:rPr>
          <w:rFonts w:ascii="Times New Roman" w:hAnsi="Times New Roman" w:cs="Times New Roman"/>
          <w:b/>
          <w:sz w:val="24"/>
          <w:szCs w:val="24"/>
        </w:rPr>
        <w:t>“%”</w:t>
      </w:r>
      <w:r w:rsidR="00C31075">
        <w:rPr>
          <w:rFonts w:ascii="Times New Roman" w:hAnsi="Times New Roman" w:cs="Times New Roman"/>
          <w:b/>
          <w:sz w:val="24"/>
          <w:szCs w:val="24"/>
        </w:rPr>
        <w:t xml:space="preserve"> sign after the numeric value</w:t>
      </w:r>
      <w:r w:rsidR="00663911">
        <w:rPr>
          <w:rFonts w:ascii="Times New Roman" w:hAnsi="Times New Roman" w:cs="Times New Roman"/>
          <w:b/>
          <w:sz w:val="24"/>
          <w:szCs w:val="24"/>
        </w:rPr>
        <w:t>.</w:t>
      </w:r>
      <w:r w:rsidR="00473368">
        <w:rPr>
          <w:rFonts w:ascii="Times New Roman" w:hAnsi="Times New Roman" w:cs="Times New Roman"/>
          <w:b/>
          <w:sz w:val="24"/>
          <w:szCs w:val="24"/>
        </w:rPr>
        <w:t xml:space="preserve"> </w:t>
      </w:r>
      <w:r w:rsidR="0022179D" w:rsidRPr="0022179D">
        <w:rPr>
          <w:rFonts w:ascii="Times New Roman" w:hAnsi="Times New Roman" w:cs="Times New Roman"/>
          <w:sz w:val="24"/>
          <w:szCs w:val="24"/>
        </w:rPr>
        <w:t>Decimals are acceptable</w:t>
      </w:r>
      <w:r w:rsidR="0022179D">
        <w:rPr>
          <w:rFonts w:ascii="Times New Roman" w:hAnsi="Times New Roman" w:cs="Times New Roman"/>
          <w:sz w:val="24"/>
          <w:szCs w:val="24"/>
        </w:rPr>
        <w:t xml:space="preserve"> for the expected recidivism rate</w:t>
      </w:r>
      <w:r w:rsidR="00867F51">
        <w:rPr>
          <w:rFonts w:ascii="Times New Roman" w:hAnsi="Times New Roman" w:cs="Times New Roman"/>
          <w:sz w:val="24"/>
          <w:szCs w:val="24"/>
        </w:rPr>
        <w:t>;</w:t>
      </w:r>
      <w:r w:rsidR="00DE6046">
        <w:rPr>
          <w:rFonts w:ascii="Times New Roman" w:hAnsi="Times New Roman" w:cs="Times New Roman"/>
          <w:sz w:val="24"/>
          <w:szCs w:val="24"/>
        </w:rPr>
        <w:t xml:space="preserve"> however</w:t>
      </w:r>
      <w:r w:rsidR="00867F51">
        <w:rPr>
          <w:rFonts w:ascii="Times New Roman" w:hAnsi="Times New Roman" w:cs="Times New Roman"/>
          <w:sz w:val="24"/>
          <w:szCs w:val="24"/>
        </w:rPr>
        <w:t>,</w:t>
      </w:r>
      <w:r w:rsidR="0022179D" w:rsidRPr="0022179D">
        <w:rPr>
          <w:rFonts w:ascii="Times New Roman" w:hAnsi="Times New Roman" w:cs="Times New Roman"/>
          <w:sz w:val="24"/>
          <w:szCs w:val="24"/>
        </w:rPr>
        <w:t xml:space="preserve"> only</w:t>
      </w:r>
      <w:r w:rsidR="00867F51">
        <w:rPr>
          <w:rFonts w:ascii="Times New Roman" w:hAnsi="Times New Roman" w:cs="Times New Roman"/>
          <w:sz w:val="24"/>
          <w:szCs w:val="24"/>
        </w:rPr>
        <w:t xml:space="preserve"> the</w:t>
      </w:r>
      <w:r w:rsidR="0022179D" w:rsidRPr="0022179D">
        <w:rPr>
          <w:rFonts w:ascii="Times New Roman" w:hAnsi="Times New Roman" w:cs="Times New Roman"/>
          <w:sz w:val="24"/>
          <w:szCs w:val="24"/>
        </w:rPr>
        <w:t xml:space="preserve"> </w:t>
      </w:r>
      <w:r w:rsidR="0022179D">
        <w:rPr>
          <w:rFonts w:ascii="Times New Roman" w:hAnsi="Times New Roman" w:cs="Times New Roman"/>
          <w:sz w:val="24"/>
          <w:szCs w:val="24"/>
        </w:rPr>
        <w:t xml:space="preserve">first digit </w:t>
      </w:r>
      <w:r w:rsidR="002135A7">
        <w:rPr>
          <w:rFonts w:ascii="Times New Roman" w:hAnsi="Times New Roman" w:cs="Times New Roman"/>
          <w:sz w:val="24"/>
          <w:szCs w:val="24"/>
        </w:rPr>
        <w:t xml:space="preserve">(rounded) </w:t>
      </w:r>
      <w:r w:rsidR="0022179D">
        <w:rPr>
          <w:rFonts w:ascii="Times New Roman" w:hAnsi="Times New Roman" w:cs="Times New Roman"/>
          <w:sz w:val="24"/>
          <w:szCs w:val="24"/>
        </w:rPr>
        <w:t>will be displayed o</w:t>
      </w:r>
      <w:r w:rsidR="0022179D" w:rsidRPr="0022179D">
        <w:rPr>
          <w:rFonts w:ascii="Times New Roman" w:hAnsi="Times New Roman" w:cs="Times New Roman"/>
          <w:sz w:val="24"/>
          <w:szCs w:val="24"/>
        </w:rPr>
        <w:t>n the calculator.</w:t>
      </w:r>
      <w:r w:rsidR="00EA5B2A">
        <w:rPr>
          <w:rFonts w:ascii="Times New Roman" w:hAnsi="Times New Roman" w:cs="Times New Roman"/>
          <w:sz w:val="24"/>
          <w:szCs w:val="24"/>
        </w:rPr>
        <w:t xml:space="preserve">  </w:t>
      </w:r>
      <w:r w:rsidR="00EA5B2A">
        <w:rPr>
          <w:rFonts w:ascii="Times New Roman" w:hAnsi="Times New Roman" w:cs="Times New Roman"/>
          <w:b/>
          <w:sz w:val="24"/>
          <w:szCs w:val="24"/>
        </w:rPr>
        <w:t>The value entered into the ‘At what year?’ field (cell B6) must a whole number between 1 and 20.</w:t>
      </w:r>
    </w:p>
    <w:p w14:paraId="5C215CA6" w14:textId="77777777" w:rsidR="0022179D" w:rsidRDefault="0022179D" w:rsidP="00FF0924">
      <w:pPr>
        <w:spacing w:after="0" w:line="240" w:lineRule="auto"/>
        <w:rPr>
          <w:rFonts w:ascii="Times New Roman" w:hAnsi="Times New Roman" w:cs="Times New Roman"/>
          <w:sz w:val="24"/>
          <w:szCs w:val="24"/>
        </w:rPr>
      </w:pPr>
    </w:p>
    <w:p w14:paraId="06EC22B3" w14:textId="49CFDBE5" w:rsidR="00343A51" w:rsidRDefault="00DE2451"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These models</w:t>
      </w:r>
      <w:r w:rsidR="00CE0905">
        <w:rPr>
          <w:rFonts w:ascii="Times New Roman" w:hAnsi="Times New Roman" w:cs="Times New Roman"/>
          <w:sz w:val="24"/>
          <w:szCs w:val="24"/>
        </w:rPr>
        <w:t>,</w:t>
      </w:r>
      <w:r>
        <w:rPr>
          <w:rFonts w:ascii="Times New Roman" w:hAnsi="Times New Roman" w:cs="Times New Roman"/>
          <w:sz w:val="24"/>
          <w:szCs w:val="24"/>
        </w:rPr>
        <w:t xml:space="preserve"> based </w:t>
      </w:r>
      <w:r w:rsidR="00CE0905">
        <w:rPr>
          <w:rFonts w:ascii="Times New Roman" w:hAnsi="Times New Roman" w:cs="Times New Roman"/>
          <w:sz w:val="24"/>
          <w:szCs w:val="24"/>
        </w:rPr>
        <w:t xml:space="preserve">on </w:t>
      </w:r>
      <w:r>
        <w:rPr>
          <w:rFonts w:ascii="Times New Roman" w:hAnsi="Times New Roman" w:cs="Times New Roman"/>
          <w:sz w:val="24"/>
          <w:szCs w:val="24"/>
        </w:rPr>
        <w:t xml:space="preserve">yearly hazard rates </w:t>
      </w:r>
      <w:r w:rsidR="00E46F10">
        <w:rPr>
          <w:rFonts w:ascii="Times New Roman" w:hAnsi="Times New Roman" w:cs="Times New Roman"/>
          <w:sz w:val="24"/>
          <w:szCs w:val="24"/>
        </w:rPr>
        <w:t>of</w:t>
      </w:r>
      <w:r w:rsidR="002135A7">
        <w:rPr>
          <w:rFonts w:ascii="Times New Roman" w:hAnsi="Times New Roman" w:cs="Times New Roman"/>
          <w:sz w:val="24"/>
          <w:szCs w:val="24"/>
        </w:rPr>
        <w:t xml:space="preserve"> potential </w:t>
      </w:r>
      <w:r w:rsidR="00D509D0">
        <w:rPr>
          <w:rFonts w:ascii="Times New Roman" w:hAnsi="Times New Roman" w:cs="Times New Roman"/>
          <w:sz w:val="24"/>
          <w:szCs w:val="24"/>
        </w:rPr>
        <w:t>recidivists</w:t>
      </w:r>
      <w:r w:rsidR="002135A7">
        <w:rPr>
          <w:rFonts w:ascii="Times New Roman" w:hAnsi="Times New Roman" w:cs="Times New Roman"/>
          <w:sz w:val="24"/>
          <w:szCs w:val="24"/>
        </w:rPr>
        <w:t xml:space="preserve"> who do</w:t>
      </w:r>
      <w:r w:rsidR="00403A06">
        <w:rPr>
          <w:rFonts w:ascii="Times New Roman" w:hAnsi="Times New Roman" w:cs="Times New Roman"/>
          <w:sz w:val="24"/>
          <w:szCs w:val="24"/>
        </w:rPr>
        <w:t xml:space="preserve"> recidivate in a given year</w:t>
      </w:r>
      <w:r w:rsidR="00D509D0">
        <w:rPr>
          <w:rFonts w:ascii="Times New Roman" w:hAnsi="Times New Roman" w:cs="Times New Roman"/>
          <w:sz w:val="24"/>
          <w:szCs w:val="24"/>
        </w:rPr>
        <w:t>, must</w:t>
      </w:r>
      <w:r>
        <w:rPr>
          <w:rFonts w:ascii="Times New Roman" w:hAnsi="Times New Roman" w:cs="Times New Roman"/>
          <w:sz w:val="24"/>
          <w:szCs w:val="24"/>
        </w:rPr>
        <w:t xml:space="preserve"> take into account </w:t>
      </w:r>
      <w:r w:rsidR="00F150DB">
        <w:rPr>
          <w:rFonts w:ascii="Times New Roman" w:hAnsi="Times New Roman" w:cs="Times New Roman"/>
          <w:sz w:val="24"/>
          <w:szCs w:val="24"/>
        </w:rPr>
        <w:t xml:space="preserve">risk </w:t>
      </w:r>
      <w:r>
        <w:rPr>
          <w:rFonts w:ascii="Times New Roman" w:hAnsi="Times New Roman" w:cs="Times New Roman"/>
          <w:sz w:val="24"/>
          <w:szCs w:val="24"/>
        </w:rPr>
        <w:t>reduction</w:t>
      </w:r>
      <w:r w:rsidR="00CE0905">
        <w:rPr>
          <w:rFonts w:ascii="Times New Roman" w:hAnsi="Times New Roman" w:cs="Times New Roman"/>
          <w:sz w:val="24"/>
          <w:szCs w:val="24"/>
        </w:rPr>
        <w:t>s</w:t>
      </w:r>
      <w:r>
        <w:rPr>
          <w:rFonts w:ascii="Times New Roman" w:hAnsi="Times New Roman" w:cs="Times New Roman"/>
          <w:sz w:val="24"/>
          <w:szCs w:val="24"/>
        </w:rPr>
        <w:t xml:space="preserve"> associated with accumulated time free in the community without </w:t>
      </w:r>
      <w:r w:rsidR="00D509D0">
        <w:rPr>
          <w:rFonts w:ascii="Times New Roman" w:hAnsi="Times New Roman" w:cs="Times New Roman"/>
          <w:sz w:val="24"/>
          <w:szCs w:val="24"/>
        </w:rPr>
        <w:t>reoffending sexually.</w:t>
      </w:r>
      <w:r w:rsidR="00740BBA">
        <w:rPr>
          <w:rFonts w:ascii="Times New Roman" w:hAnsi="Times New Roman" w:cs="Times New Roman"/>
          <w:sz w:val="24"/>
          <w:szCs w:val="24"/>
        </w:rPr>
        <w:t xml:space="preserve">  Prior analyses demonstrate</w:t>
      </w:r>
      <w:r w:rsidR="00AB1ED1">
        <w:rPr>
          <w:rFonts w:ascii="Times New Roman" w:hAnsi="Times New Roman" w:cs="Times New Roman"/>
          <w:sz w:val="24"/>
          <w:szCs w:val="24"/>
        </w:rPr>
        <w:t xml:space="preserve"> clear reduction</w:t>
      </w:r>
      <w:r w:rsidR="00740BBA">
        <w:rPr>
          <w:rFonts w:ascii="Times New Roman" w:hAnsi="Times New Roman" w:cs="Times New Roman"/>
          <w:sz w:val="24"/>
          <w:szCs w:val="24"/>
        </w:rPr>
        <w:t>s</w:t>
      </w:r>
      <w:r w:rsidR="00AB1ED1">
        <w:rPr>
          <w:rFonts w:ascii="Times New Roman" w:hAnsi="Times New Roman" w:cs="Times New Roman"/>
          <w:sz w:val="24"/>
          <w:szCs w:val="24"/>
        </w:rPr>
        <w:t xml:space="preserve"> of risk associated with time free in the community without reoffending (Hanson, Harris, Helmus, &amp; Thornton, 2014)</w:t>
      </w:r>
      <w:r w:rsidR="002035CD">
        <w:rPr>
          <w:rFonts w:ascii="Times New Roman" w:hAnsi="Times New Roman" w:cs="Times New Roman"/>
          <w:sz w:val="24"/>
          <w:szCs w:val="24"/>
        </w:rPr>
        <w:t>.  M</w:t>
      </w:r>
      <w:r w:rsidR="00AB1ED1">
        <w:rPr>
          <w:rFonts w:ascii="Times New Roman" w:hAnsi="Times New Roman" w:cs="Times New Roman"/>
          <w:sz w:val="24"/>
          <w:szCs w:val="24"/>
        </w:rPr>
        <w:t>ore recent analyses quanti</w:t>
      </w:r>
      <w:r w:rsidR="00EC6AAC">
        <w:rPr>
          <w:rFonts w:ascii="Times New Roman" w:hAnsi="Times New Roman" w:cs="Times New Roman"/>
          <w:sz w:val="24"/>
          <w:szCs w:val="24"/>
        </w:rPr>
        <w:t>fied the reduction of risk for each year free in the community without reoffending as -.130</w:t>
      </w:r>
      <w:r w:rsidR="00AB1ED1">
        <w:rPr>
          <w:rFonts w:ascii="Times New Roman" w:hAnsi="Times New Roman" w:cs="Times New Roman"/>
          <w:sz w:val="24"/>
          <w:szCs w:val="24"/>
        </w:rPr>
        <w:t xml:space="preserve"> </w:t>
      </w:r>
      <w:r w:rsidR="00EC6AAC">
        <w:rPr>
          <w:rFonts w:ascii="Times New Roman" w:hAnsi="Times New Roman" w:cs="Times New Roman"/>
          <w:sz w:val="24"/>
          <w:szCs w:val="24"/>
        </w:rPr>
        <w:t>log units per year</w:t>
      </w:r>
      <w:r w:rsidR="00085627">
        <w:rPr>
          <w:rFonts w:ascii="Times New Roman" w:hAnsi="Times New Roman" w:cs="Times New Roman"/>
          <w:sz w:val="24"/>
          <w:szCs w:val="24"/>
        </w:rPr>
        <w:t xml:space="preserve"> (Model 5,</w:t>
      </w:r>
      <w:r w:rsidR="00085627" w:rsidRPr="00085627">
        <w:rPr>
          <w:rFonts w:ascii="Times New Roman" w:hAnsi="Times New Roman" w:cs="Times New Roman"/>
          <w:sz w:val="24"/>
          <w:szCs w:val="24"/>
        </w:rPr>
        <w:t xml:space="preserve"> </w:t>
      </w:r>
      <w:r w:rsidR="00B373E0">
        <w:rPr>
          <w:rFonts w:ascii="Times New Roman" w:hAnsi="Times New Roman" w:cs="Times New Roman"/>
          <w:sz w:val="24"/>
          <w:szCs w:val="24"/>
        </w:rPr>
        <w:t>Hanson</w:t>
      </w:r>
      <w:r w:rsidR="00085627">
        <w:rPr>
          <w:rFonts w:ascii="Times New Roman" w:hAnsi="Times New Roman" w:cs="Times New Roman"/>
          <w:sz w:val="24"/>
          <w:szCs w:val="24"/>
        </w:rPr>
        <w:t xml:space="preserve"> et al., 201</w:t>
      </w:r>
      <w:r w:rsidR="00E030B6">
        <w:rPr>
          <w:rFonts w:ascii="Times New Roman" w:hAnsi="Times New Roman" w:cs="Times New Roman"/>
          <w:sz w:val="24"/>
          <w:szCs w:val="24"/>
        </w:rPr>
        <w:t>8</w:t>
      </w:r>
      <w:r w:rsidR="00085627">
        <w:rPr>
          <w:rFonts w:ascii="Times New Roman" w:hAnsi="Times New Roman" w:cs="Times New Roman"/>
          <w:sz w:val="24"/>
          <w:szCs w:val="24"/>
        </w:rPr>
        <w:t>)</w:t>
      </w:r>
      <w:r w:rsidR="00EC6AAC">
        <w:rPr>
          <w:rFonts w:ascii="Times New Roman" w:hAnsi="Times New Roman" w:cs="Times New Roman"/>
          <w:sz w:val="24"/>
          <w:szCs w:val="24"/>
        </w:rPr>
        <w:t>.  Thus, an accurate model of recidivism risk based on annual hazard rates must produce projected r</w:t>
      </w:r>
      <w:r w:rsidR="00C258CA">
        <w:rPr>
          <w:rFonts w:ascii="Times New Roman" w:hAnsi="Times New Roman" w:cs="Times New Roman"/>
          <w:sz w:val="24"/>
          <w:szCs w:val="24"/>
        </w:rPr>
        <w:t xml:space="preserve">ecidivism rates that </w:t>
      </w:r>
      <w:r w:rsidR="00F150DB">
        <w:rPr>
          <w:rFonts w:ascii="Times New Roman" w:hAnsi="Times New Roman" w:cs="Times New Roman"/>
          <w:sz w:val="24"/>
          <w:szCs w:val="24"/>
        </w:rPr>
        <w:t xml:space="preserve">(1) </w:t>
      </w:r>
      <w:r w:rsidR="00C258CA">
        <w:rPr>
          <w:rFonts w:ascii="Times New Roman" w:hAnsi="Times New Roman" w:cs="Times New Roman"/>
          <w:sz w:val="24"/>
          <w:szCs w:val="24"/>
        </w:rPr>
        <w:t xml:space="preserve">align with </w:t>
      </w:r>
      <w:r w:rsidR="00EC6AAC">
        <w:rPr>
          <w:rFonts w:ascii="Times New Roman" w:hAnsi="Times New Roman" w:cs="Times New Roman"/>
          <w:sz w:val="24"/>
          <w:szCs w:val="24"/>
        </w:rPr>
        <w:t>establish</w:t>
      </w:r>
      <w:r w:rsidR="00C258CA">
        <w:rPr>
          <w:rFonts w:ascii="Times New Roman" w:hAnsi="Times New Roman" w:cs="Times New Roman"/>
          <w:sz w:val="24"/>
          <w:szCs w:val="24"/>
        </w:rPr>
        <w:t>ed</w:t>
      </w:r>
      <w:r w:rsidR="00EC6AAC">
        <w:rPr>
          <w:rFonts w:ascii="Times New Roman" w:hAnsi="Times New Roman" w:cs="Times New Roman"/>
          <w:sz w:val="24"/>
          <w:szCs w:val="24"/>
        </w:rPr>
        <w:t xml:space="preserve"> norms</w:t>
      </w:r>
      <w:r w:rsidR="008C4C0A">
        <w:rPr>
          <w:rFonts w:ascii="Times New Roman" w:hAnsi="Times New Roman" w:cs="Times New Roman"/>
          <w:sz w:val="24"/>
          <w:szCs w:val="24"/>
        </w:rPr>
        <w:t xml:space="preserve"> and </w:t>
      </w:r>
      <w:r w:rsidR="00F150DB">
        <w:rPr>
          <w:rFonts w:ascii="Times New Roman" w:hAnsi="Times New Roman" w:cs="Times New Roman"/>
          <w:sz w:val="24"/>
          <w:szCs w:val="24"/>
        </w:rPr>
        <w:t>(2)</w:t>
      </w:r>
      <w:r w:rsidR="008C4C0A">
        <w:rPr>
          <w:rFonts w:ascii="Times New Roman" w:hAnsi="Times New Roman" w:cs="Times New Roman"/>
          <w:sz w:val="24"/>
          <w:szCs w:val="24"/>
        </w:rPr>
        <w:t xml:space="preserve"> </w:t>
      </w:r>
      <w:r w:rsidR="00EC6AAC">
        <w:rPr>
          <w:rFonts w:ascii="Times New Roman" w:hAnsi="Times New Roman" w:cs="Times New Roman"/>
          <w:sz w:val="24"/>
          <w:szCs w:val="24"/>
        </w:rPr>
        <w:t xml:space="preserve">reflect </w:t>
      </w:r>
      <w:r w:rsidR="00965848">
        <w:rPr>
          <w:rFonts w:ascii="Times New Roman" w:hAnsi="Times New Roman" w:cs="Times New Roman"/>
          <w:sz w:val="24"/>
          <w:szCs w:val="24"/>
        </w:rPr>
        <w:t>reductions in risk with the passage of time free in the community without reoffending.</w:t>
      </w:r>
      <w:r w:rsidR="00C258CA">
        <w:rPr>
          <w:rFonts w:ascii="Times New Roman" w:hAnsi="Times New Roman" w:cs="Times New Roman"/>
          <w:sz w:val="24"/>
          <w:szCs w:val="24"/>
        </w:rPr>
        <w:t xml:space="preserve">  An additional factor complicating application of these models is the known, independent contribution of nonsexual </w:t>
      </w:r>
      <w:r w:rsidR="00343A51">
        <w:rPr>
          <w:rFonts w:ascii="Times New Roman" w:hAnsi="Times New Roman" w:cs="Times New Roman"/>
          <w:sz w:val="24"/>
          <w:szCs w:val="24"/>
        </w:rPr>
        <w:t>offending fo</w:t>
      </w:r>
      <w:r w:rsidR="00740BBA">
        <w:rPr>
          <w:rFonts w:ascii="Times New Roman" w:hAnsi="Times New Roman" w:cs="Times New Roman"/>
          <w:sz w:val="24"/>
          <w:szCs w:val="24"/>
        </w:rPr>
        <w:t>r increasing an individual’s ris</w:t>
      </w:r>
      <w:r w:rsidR="00343A51">
        <w:rPr>
          <w:rFonts w:ascii="Times New Roman" w:hAnsi="Times New Roman" w:cs="Times New Roman"/>
          <w:sz w:val="24"/>
          <w:szCs w:val="24"/>
        </w:rPr>
        <w:t>k for reoffending sexually by .440 log units (</w:t>
      </w:r>
      <w:r w:rsidR="00A01479">
        <w:rPr>
          <w:rFonts w:ascii="Times New Roman" w:hAnsi="Times New Roman" w:cs="Times New Roman"/>
          <w:sz w:val="24"/>
          <w:szCs w:val="24"/>
        </w:rPr>
        <w:t xml:space="preserve">Model 6, </w:t>
      </w:r>
      <w:r w:rsidR="00343A51">
        <w:rPr>
          <w:rFonts w:ascii="Times New Roman" w:hAnsi="Times New Roman" w:cs="Times New Roman"/>
          <w:sz w:val="24"/>
          <w:szCs w:val="24"/>
        </w:rPr>
        <w:t>Hanson et al., 201</w:t>
      </w:r>
      <w:r w:rsidR="00E030B6">
        <w:rPr>
          <w:rFonts w:ascii="Times New Roman" w:hAnsi="Times New Roman" w:cs="Times New Roman"/>
          <w:sz w:val="24"/>
          <w:szCs w:val="24"/>
        </w:rPr>
        <w:t>8</w:t>
      </w:r>
      <w:r w:rsidR="00343A51">
        <w:rPr>
          <w:rFonts w:ascii="Times New Roman" w:hAnsi="Times New Roman" w:cs="Times New Roman"/>
          <w:sz w:val="24"/>
          <w:szCs w:val="24"/>
        </w:rPr>
        <w:t xml:space="preserve">).  </w:t>
      </w:r>
    </w:p>
    <w:p w14:paraId="2BFBF110" w14:textId="77777777" w:rsidR="00343A51" w:rsidRDefault="00343A51" w:rsidP="00FF0924">
      <w:pPr>
        <w:spacing w:after="0" w:line="240" w:lineRule="auto"/>
        <w:rPr>
          <w:rFonts w:ascii="Times New Roman" w:hAnsi="Times New Roman" w:cs="Times New Roman"/>
          <w:sz w:val="24"/>
          <w:szCs w:val="24"/>
        </w:rPr>
      </w:pPr>
    </w:p>
    <w:p w14:paraId="7B5BC9F3" w14:textId="77777777" w:rsidR="00E62EFE" w:rsidRDefault="00343A51"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factors are taken into account and the appropriate </w:t>
      </w:r>
      <w:r w:rsidR="00F31FF7">
        <w:rPr>
          <w:rFonts w:ascii="Times New Roman" w:hAnsi="Times New Roman" w:cs="Times New Roman"/>
          <w:sz w:val="24"/>
          <w:szCs w:val="24"/>
        </w:rPr>
        <w:t xml:space="preserve">survival model applied in the </w:t>
      </w:r>
      <w:r w:rsidR="00A01479">
        <w:rPr>
          <w:rFonts w:ascii="Times New Roman" w:hAnsi="Times New Roman" w:cs="Times New Roman"/>
          <w:sz w:val="24"/>
          <w:szCs w:val="24"/>
        </w:rPr>
        <w:t>“</w:t>
      </w:r>
      <w:proofErr w:type="spellStart"/>
      <w:r w:rsidR="00F150DB">
        <w:rPr>
          <w:rFonts w:ascii="Times New Roman" w:hAnsi="Times New Roman" w:cs="Times New Roman"/>
          <w:sz w:val="24"/>
          <w:szCs w:val="24"/>
        </w:rPr>
        <w:t>GH</w:t>
      </w:r>
      <w:r w:rsidR="00F31FF7">
        <w:rPr>
          <w:rFonts w:ascii="Times New Roman" w:hAnsi="Times New Roman" w:cs="Times New Roman"/>
          <w:sz w:val="24"/>
          <w:szCs w:val="24"/>
        </w:rPr>
        <w:t>R_</w:t>
      </w:r>
      <w:r>
        <w:rPr>
          <w:rFonts w:ascii="Times New Roman" w:hAnsi="Times New Roman" w:cs="Times New Roman"/>
          <w:sz w:val="24"/>
          <w:szCs w:val="24"/>
        </w:rPr>
        <w:t>RecidRate</w:t>
      </w:r>
      <w:r w:rsidR="00F150DB">
        <w:rPr>
          <w:rFonts w:ascii="Times New Roman" w:hAnsi="Times New Roman" w:cs="Times New Roman"/>
          <w:sz w:val="24"/>
          <w:szCs w:val="24"/>
        </w:rPr>
        <w:t>s</w:t>
      </w:r>
      <w:proofErr w:type="spellEnd"/>
      <w:r w:rsidR="00A01479">
        <w:rPr>
          <w:rFonts w:ascii="Times New Roman" w:hAnsi="Times New Roman" w:cs="Times New Roman"/>
          <w:sz w:val="24"/>
          <w:szCs w:val="24"/>
        </w:rPr>
        <w:t>”</w:t>
      </w:r>
      <w:r w:rsidR="00F150DB">
        <w:rPr>
          <w:rFonts w:ascii="Times New Roman" w:hAnsi="Times New Roman" w:cs="Times New Roman"/>
          <w:sz w:val="24"/>
          <w:szCs w:val="24"/>
        </w:rPr>
        <w:t xml:space="preserve"> and </w:t>
      </w:r>
      <w:r w:rsidR="00A01479">
        <w:rPr>
          <w:rFonts w:ascii="Times New Roman" w:hAnsi="Times New Roman" w:cs="Times New Roman"/>
          <w:sz w:val="24"/>
          <w:szCs w:val="24"/>
        </w:rPr>
        <w:t>“</w:t>
      </w:r>
      <w:proofErr w:type="spellStart"/>
      <w:r w:rsidR="00F150DB">
        <w:rPr>
          <w:rFonts w:ascii="Times New Roman" w:hAnsi="Times New Roman" w:cs="Times New Roman"/>
          <w:sz w:val="24"/>
          <w:szCs w:val="24"/>
        </w:rPr>
        <w:t>GHR_NS_RecidRates</w:t>
      </w:r>
      <w:proofErr w:type="spellEnd"/>
      <w:r w:rsidR="00A01479">
        <w:rPr>
          <w:rFonts w:ascii="Times New Roman" w:hAnsi="Times New Roman" w:cs="Times New Roman"/>
          <w:sz w:val="24"/>
          <w:szCs w:val="24"/>
        </w:rPr>
        <w:t>”</w:t>
      </w:r>
      <w:r>
        <w:rPr>
          <w:rFonts w:ascii="Times New Roman" w:hAnsi="Times New Roman" w:cs="Times New Roman"/>
          <w:sz w:val="24"/>
          <w:szCs w:val="24"/>
        </w:rPr>
        <w:t xml:space="preserve"> </w:t>
      </w:r>
      <w:r w:rsidR="00F150DB">
        <w:rPr>
          <w:rFonts w:ascii="Times New Roman" w:hAnsi="Times New Roman" w:cs="Times New Roman"/>
          <w:sz w:val="24"/>
          <w:szCs w:val="24"/>
        </w:rPr>
        <w:t>tabs/</w:t>
      </w:r>
      <w:r>
        <w:rPr>
          <w:rFonts w:ascii="Times New Roman" w:hAnsi="Times New Roman" w:cs="Times New Roman"/>
          <w:sz w:val="24"/>
          <w:szCs w:val="24"/>
        </w:rPr>
        <w:t>worksheet</w:t>
      </w:r>
      <w:r w:rsidR="00F150DB">
        <w:rPr>
          <w:rFonts w:ascii="Times New Roman" w:hAnsi="Times New Roman" w:cs="Times New Roman"/>
          <w:sz w:val="24"/>
          <w:szCs w:val="24"/>
        </w:rPr>
        <w:t>s using an initial hazard rate</w:t>
      </w:r>
      <w:r w:rsidR="00DF4763">
        <w:rPr>
          <w:rFonts w:ascii="Times New Roman" w:hAnsi="Times New Roman" w:cs="Times New Roman"/>
          <w:sz w:val="24"/>
          <w:szCs w:val="24"/>
        </w:rPr>
        <w:t xml:space="preserve"> that is </w:t>
      </w:r>
      <w:r w:rsidR="00F150DB">
        <w:rPr>
          <w:rFonts w:ascii="Times New Roman" w:hAnsi="Times New Roman" w:cs="Times New Roman"/>
          <w:sz w:val="24"/>
          <w:szCs w:val="24"/>
        </w:rPr>
        <w:t xml:space="preserve">reiteratively computed in the </w:t>
      </w:r>
      <w:r w:rsidR="00A01479">
        <w:rPr>
          <w:rFonts w:ascii="Times New Roman" w:hAnsi="Times New Roman" w:cs="Times New Roman"/>
          <w:sz w:val="24"/>
          <w:szCs w:val="24"/>
        </w:rPr>
        <w:t>“</w:t>
      </w:r>
      <w:proofErr w:type="spellStart"/>
      <w:r w:rsidR="00F150DB">
        <w:rPr>
          <w:rFonts w:ascii="Times New Roman" w:hAnsi="Times New Roman" w:cs="Times New Roman"/>
          <w:sz w:val="24"/>
          <w:szCs w:val="24"/>
        </w:rPr>
        <w:t>Get_HR</w:t>
      </w:r>
      <w:proofErr w:type="spellEnd"/>
      <w:r w:rsidR="00A01479">
        <w:rPr>
          <w:rFonts w:ascii="Times New Roman" w:hAnsi="Times New Roman" w:cs="Times New Roman"/>
          <w:sz w:val="24"/>
          <w:szCs w:val="24"/>
        </w:rPr>
        <w:t>”</w:t>
      </w:r>
      <w:r w:rsidR="00F150DB">
        <w:rPr>
          <w:rFonts w:ascii="Times New Roman" w:hAnsi="Times New Roman" w:cs="Times New Roman"/>
          <w:sz w:val="24"/>
          <w:szCs w:val="24"/>
        </w:rPr>
        <w:t xml:space="preserve"> </w:t>
      </w:r>
      <w:r w:rsidR="00085627">
        <w:rPr>
          <w:rFonts w:ascii="Times New Roman" w:hAnsi="Times New Roman" w:cs="Times New Roman"/>
          <w:sz w:val="24"/>
          <w:szCs w:val="24"/>
        </w:rPr>
        <w:t>and “</w:t>
      </w:r>
      <w:proofErr w:type="spellStart"/>
      <w:r w:rsidR="00085627">
        <w:rPr>
          <w:rFonts w:ascii="Times New Roman" w:hAnsi="Times New Roman" w:cs="Times New Roman"/>
          <w:sz w:val="24"/>
          <w:szCs w:val="24"/>
        </w:rPr>
        <w:t>GHR_RecidRates</w:t>
      </w:r>
      <w:proofErr w:type="spellEnd"/>
      <w:r w:rsidR="00085627">
        <w:rPr>
          <w:rFonts w:ascii="Times New Roman" w:hAnsi="Times New Roman" w:cs="Times New Roman"/>
          <w:sz w:val="24"/>
          <w:szCs w:val="24"/>
        </w:rPr>
        <w:t xml:space="preserve">” </w:t>
      </w:r>
      <w:r w:rsidR="00F150DB">
        <w:rPr>
          <w:rFonts w:ascii="Times New Roman" w:hAnsi="Times New Roman" w:cs="Times New Roman"/>
          <w:sz w:val="24"/>
          <w:szCs w:val="24"/>
        </w:rPr>
        <w:t>tab</w:t>
      </w:r>
      <w:r w:rsidR="00085627">
        <w:rPr>
          <w:rFonts w:ascii="Times New Roman" w:hAnsi="Times New Roman" w:cs="Times New Roman"/>
          <w:sz w:val="24"/>
          <w:szCs w:val="24"/>
        </w:rPr>
        <w:t>s</w:t>
      </w:r>
      <w:r w:rsidR="00F150DB">
        <w:rPr>
          <w:rFonts w:ascii="Times New Roman" w:hAnsi="Times New Roman" w:cs="Times New Roman"/>
          <w:sz w:val="24"/>
          <w:szCs w:val="24"/>
        </w:rPr>
        <w:t>/worksheet</w:t>
      </w:r>
      <w:r w:rsidR="00085627">
        <w:rPr>
          <w:rFonts w:ascii="Times New Roman" w:hAnsi="Times New Roman" w:cs="Times New Roman"/>
          <w:sz w:val="24"/>
          <w:szCs w:val="24"/>
        </w:rPr>
        <w:t>s</w:t>
      </w:r>
      <w:r w:rsidR="00403A06">
        <w:rPr>
          <w:rFonts w:ascii="Times New Roman" w:hAnsi="Times New Roman" w:cs="Times New Roman"/>
          <w:sz w:val="24"/>
          <w:szCs w:val="24"/>
        </w:rPr>
        <w:t xml:space="preserve">.  The </w:t>
      </w:r>
      <w:r w:rsidR="00DF4763">
        <w:rPr>
          <w:rFonts w:ascii="Times New Roman" w:hAnsi="Times New Roman" w:cs="Times New Roman"/>
          <w:sz w:val="24"/>
          <w:szCs w:val="24"/>
        </w:rPr>
        <w:t>user-specified recidivism risk at a particular follow-up interval</w:t>
      </w:r>
      <w:r w:rsidR="00403A06">
        <w:rPr>
          <w:rFonts w:ascii="Times New Roman" w:hAnsi="Times New Roman" w:cs="Times New Roman"/>
          <w:sz w:val="24"/>
          <w:szCs w:val="24"/>
        </w:rPr>
        <w:t>,</w:t>
      </w:r>
      <w:r w:rsidR="00DF4763">
        <w:rPr>
          <w:rFonts w:ascii="Times New Roman" w:hAnsi="Times New Roman" w:cs="Times New Roman"/>
          <w:sz w:val="24"/>
          <w:szCs w:val="24"/>
        </w:rPr>
        <w:t xml:space="preserve"> entered into cells B5 and B6 of the </w:t>
      </w:r>
      <w:r w:rsidR="002135A7">
        <w:rPr>
          <w:rFonts w:ascii="Times New Roman" w:hAnsi="Times New Roman" w:cs="Times New Roman"/>
          <w:sz w:val="24"/>
          <w:szCs w:val="24"/>
        </w:rPr>
        <w:t>“</w:t>
      </w:r>
      <w:r w:rsidR="00DF4763">
        <w:rPr>
          <w:rFonts w:ascii="Times New Roman" w:hAnsi="Times New Roman" w:cs="Times New Roman"/>
          <w:sz w:val="24"/>
          <w:szCs w:val="24"/>
        </w:rPr>
        <w:t>Calculator</w:t>
      </w:r>
      <w:r w:rsidR="002135A7">
        <w:rPr>
          <w:rFonts w:ascii="Times New Roman" w:hAnsi="Times New Roman" w:cs="Times New Roman"/>
          <w:sz w:val="24"/>
          <w:szCs w:val="24"/>
        </w:rPr>
        <w:t>”</w:t>
      </w:r>
      <w:r w:rsidR="00DF4763">
        <w:rPr>
          <w:rFonts w:ascii="Times New Roman" w:hAnsi="Times New Roman" w:cs="Times New Roman"/>
          <w:sz w:val="24"/>
          <w:szCs w:val="24"/>
        </w:rPr>
        <w:t xml:space="preserve"> tab/worksheet</w:t>
      </w:r>
      <w:r w:rsidR="002135A7">
        <w:rPr>
          <w:rFonts w:ascii="Times New Roman" w:hAnsi="Times New Roman" w:cs="Times New Roman"/>
          <w:sz w:val="24"/>
          <w:szCs w:val="24"/>
        </w:rPr>
        <w:t>, i</w:t>
      </w:r>
      <w:r w:rsidR="00085627">
        <w:rPr>
          <w:rFonts w:ascii="Times New Roman" w:hAnsi="Times New Roman" w:cs="Times New Roman"/>
          <w:sz w:val="24"/>
          <w:szCs w:val="24"/>
        </w:rPr>
        <w:t>s used to drive</w:t>
      </w:r>
      <w:r w:rsidR="00403A06">
        <w:rPr>
          <w:rFonts w:ascii="Times New Roman" w:hAnsi="Times New Roman" w:cs="Times New Roman"/>
          <w:sz w:val="24"/>
          <w:szCs w:val="24"/>
        </w:rPr>
        <w:t xml:space="preserve"> reiter</w:t>
      </w:r>
      <w:r w:rsidR="00085627">
        <w:rPr>
          <w:rFonts w:ascii="Times New Roman" w:hAnsi="Times New Roman" w:cs="Times New Roman"/>
          <w:sz w:val="24"/>
          <w:szCs w:val="24"/>
        </w:rPr>
        <w:t>ative calculations of a</w:t>
      </w:r>
      <w:r w:rsidR="00403A06">
        <w:rPr>
          <w:rFonts w:ascii="Times New Roman" w:hAnsi="Times New Roman" w:cs="Times New Roman"/>
          <w:sz w:val="24"/>
          <w:szCs w:val="24"/>
        </w:rPr>
        <w:t xml:space="preserve"> hazard ratio</w:t>
      </w:r>
      <w:r w:rsidR="002135A7">
        <w:rPr>
          <w:rFonts w:ascii="Times New Roman" w:hAnsi="Times New Roman" w:cs="Times New Roman"/>
          <w:sz w:val="24"/>
          <w:szCs w:val="24"/>
        </w:rPr>
        <w:t xml:space="preserve"> for the initial year</w:t>
      </w:r>
      <w:r w:rsidR="00DF4763">
        <w:rPr>
          <w:rFonts w:ascii="Times New Roman" w:hAnsi="Times New Roman" w:cs="Times New Roman"/>
          <w:sz w:val="24"/>
          <w:szCs w:val="24"/>
        </w:rPr>
        <w:t>.</w:t>
      </w:r>
      <w:r w:rsidR="006E27F8">
        <w:rPr>
          <w:rFonts w:ascii="Times New Roman" w:hAnsi="Times New Roman" w:cs="Times New Roman"/>
          <w:sz w:val="24"/>
          <w:szCs w:val="24"/>
        </w:rPr>
        <w:t xml:space="preserve">  A detailed description of the calculations going into the projected 20-year risk for sexual recidivism for a specific individual, and the risk reduction associated with the passage of offense free time in the community is presented below.  </w:t>
      </w:r>
      <w:r w:rsidR="0033565A">
        <w:rPr>
          <w:rFonts w:ascii="Times New Roman" w:hAnsi="Times New Roman" w:cs="Times New Roman"/>
          <w:sz w:val="24"/>
          <w:szCs w:val="24"/>
        </w:rPr>
        <w:t xml:space="preserve">We make </w:t>
      </w:r>
      <w:r w:rsidR="002135A7">
        <w:rPr>
          <w:rFonts w:ascii="Times New Roman" w:hAnsi="Times New Roman" w:cs="Times New Roman"/>
          <w:sz w:val="24"/>
          <w:szCs w:val="24"/>
        </w:rPr>
        <w:t xml:space="preserve">an </w:t>
      </w:r>
      <w:r w:rsidR="0033565A">
        <w:rPr>
          <w:rFonts w:ascii="Times New Roman" w:hAnsi="Times New Roman" w:cs="Times New Roman"/>
          <w:sz w:val="24"/>
          <w:szCs w:val="24"/>
        </w:rPr>
        <w:t xml:space="preserve">explicit assumption that </w:t>
      </w:r>
      <w:r w:rsidR="00DE61D9">
        <w:rPr>
          <w:rFonts w:ascii="Times New Roman" w:hAnsi="Times New Roman" w:cs="Times New Roman"/>
          <w:sz w:val="24"/>
          <w:szCs w:val="24"/>
        </w:rPr>
        <w:t xml:space="preserve">the risk for reoffending sexually of </w:t>
      </w:r>
      <w:r w:rsidR="0033565A">
        <w:rPr>
          <w:rFonts w:ascii="Times New Roman" w:hAnsi="Times New Roman" w:cs="Times New Roman"/>
          <w:sz w:val="24"/>
          <w:szCs w:val="24"/>
        </w:rPr>
        <w:t>an individual with a</w:t>
      </w:r>
      <w:r w:rsidR="00DE61D9">
        <w:rPr>
          <w:rFonts w:ascii="Times New Roman" w:hAnsi="Times New Roman" w:cs="Times New Roman"/>
          <w:sz w:val="24"/>
          <w:szCs w:val="24"/>
        </w:rPr>
        <w:t xml:space="preserve"> history of sexual offending is negligible </w:t>
      </w:r>
      <w:r w:rsidR="0033565A">
        <w:rPr>
          <w:rFonts w:ascii="Times New Roman" w:hAnsi="Times New Roman" w:cs="Times New Roman"/>
          <w:sz w:val="24"/>
          <w:szCs w:val="24"/>
        </w:rPr>
        <w:t xml:space="preserve">after 20 years in the community </w:t>
      </w:r>
      <w:r w:rsidR="00DE61D9">
        <w:rPr>
          <w:rFonts w:ascii="Times New Roman" w:hAnsi="Times New Roman" w:cs="Times New Roman"/>
          <w:sz w:val="24"/>
          <w:szCs w:val="24"/>
        </w:rPr>
        <w:t>and remaining sexually offense free.</w:t>
      </w:r>
      <w:r w:rsidR="00502439">
        <w:rPr>
          <w:rFonts w:ascii="Times New Roman" w:hAnsi="Times New Roman" w:cs="Times New Roman"/>
          <w:sz w:val="24"/>
          <w:szCs w:val="24"/>
        </w:rPr>
        <w:t xml:space="preserve">  We opted to</w:t>
      </w:r>
      <w:r w:rsidR="00085627">
        <w:rPr>
          <w:rFonts w:ascii="Times New Roman" w:hAnsi="Times New Roman" w:cs="Times New Roman"/>
          <w:sz w:val="24"/>
          <w:szCs w:val="24"/>
        </w:rPr>
        <w:t xml:space="preserve"> use Model 5 of Hanson, et al. (2017) to derive the initial year hazard ratio because of the larger sample size used to estimate model parameters (</w:t>
      </w:r>
      <w:r w:rsidR="00085627">
        <w:rPr>
          <w:rFonts w:ascii="Times New Roman" w:hAnsi="Times New Roman" w:cs="Times New Roman"/>
          <w:i/>
          <w:sz w:val="24"/>
          <w:szCs w:val="24"/>
        </w:rPr>
        <w:t>n</w:t>
      </w:r>
      <w:r w:rsidR="00085627">
        <w:rPr>
          <w:rFonts w:ascii="Times New Roman" w:hAnsi="Times New Roman" w:cs="Times New Roman"/>
          <w:sz w:val="24"/>
          <w:szCs w:val="24"/>
        </w:rPr>
        <w:t xml:space="preserve"> =</w:t>
      </w:r>
      <w:r w:rsidR="00502439">
        <w:rPr>
          <w:rFonts w:ascii="Times New Roman" w:hAnsi="Times New Roman" w:cs="Times New Roman"/>
          <w:sz w:val="24"/>
          <w:szCs w:val="24"/>
        </w:rPr>
        <w:t xml:space="preserve"> 7,225</w:t>
      </w:r>
      <w:r w:rsidR="00085627">
        <w:rPr>
          <w:rFonts w:ascii="Times New Roman" w:hAnsi="Times New Roman" w:cs="Times New Roman"/>
          <w:sz w:val="24"/>
          <w:szCs w:val="24"/>
        </w:rPr>
        <w:t xml:space="preserve">) compared to the </w:t>
      </w:r>
      <w:r w:rsidR="00502439">
        <w:rPr>
          <w:rFonts w:ascii="Times New Roman" w:hAnsi="Times New Roman" w:cs="Times New Roman"/>
          <w:sz w:val="24"/>
          <w:szCs w:val="24"/>
        </w:rPr>
        <w:t>sample size used to estimate model parameters of Model 6 (</w:t>
      </w:r>
      <w:r w:rsidR="00502439">
        <w:rPr>
          <w:rFonts w:ascii="Times New Roman" w:hAnsi="Times New Roman" w:cs="Times New Roman"/>
          <w:i/>
          <w:sz w:val="24"/>
          <w:szCs w:val="24"/>
        </w:rPr>
        <w:t>n</w:t>
      </w:r>
      <w:r w:rsidR="00502439">
        <w:rPr>
          <w:rFonts w:ascii="Times New Roman" w:hAnsi="Times New Roman" w:cs="Times New Roman"/>
          <w:sz w:val="24"/>
          <w:szCs w:val="24"/>
        </w:rPr>
        <w:t xml:space="preserve"> = 4,078).</w:t>
      </w:r>
      <w:r w:rsidR="00DE61D9">
        <w:rPr>
          <w:rFonts w:ascii="Times New Roman" w:hAnsi="Times New Roman" w:cs="Times New Roman"/>
          <w:sz w:val="24"/>
          <w:szCs w:val="24"/>
        </w:rPr>
        <w:t xml:space="preserve"> </w:t>
      </w:r>
      <w:r w:rsidR="003057CE">
        <w:rPr>
          <w:rFonts w:ascii="Times New Roman" w:hAnsi="Times New Roman" w:cs="Times New Roman"/>
          <w:sz w:val="24"/>
          <w:szCs w:val="24"/>
        </w:rPr>
        <w:t xml:space="preserve">  </w:t>
      </w:r>
    </w:p>
    <w:p w14:paraId="0B5F7900" w14:textId="77777777" w:rsidR="00E62EFE" w:rsidRDefault="00E62EFE" w:rsidP="00FF0924">
      <w:pPr>
        <w:spacing w:after="0" w:line="240" w:lineRule="auto"/>
        <w:rPr>
          <w:rFonts w:ascii="Times New Roman" w:hAnsi="Times New Roman" w:cs="Times New Roman"/>
          <w:sz w:val="24"/>
          <w:szCs w:val="24"/>
        </w:rPr>
      </w:pPr>
    </w:p>
    <w:p w14:paraId="68B1A314" w14:textId="77777777" w:rsidR="00BD2FF8" w:rsidRDefault="003057CE" w:rsidP="00BD2F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Consider </w:t>
      </w:r>
      <w:r w:rsidR="0091142C">
        <w:rPr>
          <w:rFonts w:ascii="Times New Roman" w:hAnsi="Times New Roman" w:cs="Times New Roman"/>
          <w:sz w:val="24"/>
          <w:szCs w:val="24"/>
        </w:rPr>
        <w:t>an individual with a Static-99R score of 5 referenced to the Routine sample norms</w:t>
      </w:r>
      <w:r>
        <w:rPr>
          <w:rFonts w:ascii="Times New Roman" w:hAnsi="Times New Roman" w:cs="Times New Roman"/>
          <w:sz w:val="24"/>
          <w:szCs w:val="24"/>
        </w:rPr>
        <w:t xml:space="preserve">.  Their </w:t>
      </w:r>
      <w:r w:rsidR="0091142C">
        <w:rPr>
          <w:rFonts w:ascii="Times New Roman" w:hAnsi="Times New Roman" w:cs="Times New Roman"/>
          <w:sz w:val="24"/>
          <w:szCs w:val="24"/>
        </w:rPr>
        <w:t xml:space="preserve">predicted recidivism risk </w:t>
      </w:r>
      <w:r>
        <w:rPr>
          <w:rFonts w:ascii="Times New Roman" w:hAnsi="Times New Roman" w:cs="Times New Roman"/>
          <w:sz w:val="24"/>
          <w:szCs w:val="24"/>
        </w:rPr>
        <w:t xml:space="preserve">would be </w:t>
      </w:r>
      <w:r w:rsidR="0091142C">
        <w:rPr>
          <w:rFonts w:ascii="Times New Roman" w:hAnsi="Times New Roman" w:cs="Times New Roman"/>
          <w:sz w:val="24"/>
          <w:szCs w:val="24"/>
        </w:rPr>
        <w:t>15.2 percent at 5 years</w:t>
      </w:r>
      <w:r>
        <w:rPr>
          <w:rFonts w:ascii="Times New Roman" w:hAnsi="Times New Roman" w:cs="Times New Roman"/>
          <w:sz w:val="24"/>
          <w:szCs w:val="24"/>
        </w:rPr>
        <w:t xml:space="preserve">; these </w:t>
      </w:r>
      <w:r w:rsidR="0091142C">
        <w:rPr>
          <w:rFonts w:ascii="Times New Roman" w:hAnsi="Times New Roman" w:cs="Times New Roman"/>
          <w:sz w:val="24"/>
          <w:szCs w:val="24"/>
        </w:rPr>
        <w:t xml:space="preserve">values </w:t>
      </w:r>
      <w:r>
        <w:rPr>
          <w:rFonts w:ascii="Times New Roman" w:hAnsi="Times New Roman" w:cs="Times New Roman"/>
          <w:sz w:val="24"/>
          <w:szCs w:val="24"/>
        </w:rPr>
        <w:t xml:space="preserve">would be </w:t>
      </w:r>
      <w:r w:rsidR="0091142C">
        <w:rPr>
          <w:rFonts w:ascii="Times New Roman" w:hAnsi="Times New Roman" w:cs="Times New Roman"/>
          <w:sz w:val="24"/>
          <w:szCs w:val="24"/>
        </w:rPr>
        <w:t xml:space="preserve">entered into cells B5 and B6 of the </w:t>
      </w:r>
      <w:r w:rsidR="002135A7">
        <w:rPr>
          <w:rFonts w:ascii="Times New Roman" w:hAnsi="Times New Roman" w:cs="Times New Roman"/>
          <w:sz w:val="24"/>
          <w:szCs w:val="24"/>
        </w:rPr>
        <w:t>“</w:t>
      </w:r>
      <w:r w:rsidR="0091142C">
        <w:rPr>
          <w:rFonts w:ascii="Times New Roman" w:hAnsi="Times New Roman" w:cs="Times New Roman"/>
          <w:sz w:val="24"/>
          <w:szCs w:val="24"/>
        </w:rPr>
        <w:t>Calculator</w:t>
      </w:r>
      <w:r w:rsidR="002135A7">
        <w:rPr>
          <w:rFonts w:ascii="Times New Roman" w:hAnsi="Times New Roman" w:cs="Times New Roman"/>
          <w:sz w:val="24"/>
          <w:szCs w:val="24"/>
        </w:rPr>
        <w:t>”</w:t>
      </w:r>
      <w:r w:rsidR="0091142C">
        <w:rPr>
          <w:rFonts w:ascii="Times New Roman" w:hAnsi="Times New Roman" w:cs="Times New Roman"/>
          <w:sz w:val="24"/>
          <w:szCs w:val="24"/>
        </w:rPr>
        <w:t xml:space="preserve"> tab/worksheet</w:t>
      </w:r>
      <w:r>
        <w:rPr>
          <w:rFonts w:ascii="Times New Roman" w:hAnsi="Times New Roman" w:cs="Times New Roman"/>
          <w:sz w:val="24"/>
          <w:szCs w:val="24"/>
        </w:rPr>
        <w:t>.</w:t>
      </w:r>
      <w:r w:rsidR="0091142C">
        <w:rPr>
          <w:rFonts w:ascii="Times New Roman" w:hAnsi="Times New Roman" w:cs="Times New Roman"/>
          <w:sz w:val="24"/>
          <w:szCs w:val="24"/>
        </w:rPr>
        <w:t xml:space="preserve">  These values are also written to cells C2 and C3 of the </w:t>
      </w:r>
      <w:r w:rsidR="00A01479">
        <w:rPr>
          <w:rFonts w:ascii="Times New Roman" w:hAnsi="Times New Roman" w:cs="Times New Roman"/>
          <w:sz w:val="24"/>
          <w:szCs w:val="24"/>
        </w:rPr>
        <w:t>“</w:t>
      </w:r>
      <w:proofErr w:type="spellStart"/>
      <w:r w:rsidR="0091142C">
        <w:rPr>
          <w:rFonts w:ascii="Times New Roman" w:hAnsi="Times New Roman" w:cs="Times New Roman"/>
          <w:sz w:val="24"/>
          <w:szCs w:val="24"/>
        </w:rPr>
        <w:t>Get_HR</w:t>
      </w:r>
      <w:proofErr w:type="spellEnd"/>
      <w:r w:rsidR="00A01479">
        <w:rPr>
          <w:rFonts w:ascii="Times New Roman" w:hAnsi="Times New Roman" w:cs="Times New Roman"/>
          <w:sz w:val="24"/>
          <w:szCs w:val="24"/>
        </w:rPr>
        <w:t>”</w:t>
      </w:r>
      <w:r w:rsidR="0091142C">
        <w:rPr>
          <w:rFonts w:ascii="Times New Roman" w:hAnsi="Times New Roman" w:cs="Times New Roman"/>
          <w:sz w:val="24"/>
          <w:szCs w:val="24"/>
        </w:rPr>
        <w:t xml:space="preserve"> tab/worksheet</w:t>
      </w:r>
      <w:r w:rsidR="00BD2FF8">
        <w:rPr>
          <w:rFonts w:ascii="Times New Roman" w:hAnsi="Times New Roman" w:cs="Times New Roman"/>
          <w:sz w:val="24"/>
          <w:szCs w:val="24"/>
        </w:rPr>
        <w:t xml:space="preserve">.  The recidivism risk to be modelled (15.2 percent) is written to cells H2 to H21 of the </w:t>
      </w:r>
      <w:r w:rsidR="00A01479">
        <w:rPr>
          <w:rFonts w:ascii="Times New Roman" w:hAnsi="Times New Roman" w:cs="Times New Roman"/>
          <w:sz w:val="24"/>
          <w:szCs w:val="24"/>
        </w:rPr>
        <w:t>“</w:t>
      </w:r>
      <w:proofErr w:type="spellStart"/>
      <w:r w:rsidR="00BD2FF8">
        <w:rPr>
          <w:rFonts w:ascii="Times New Roman" w:hAnsi="Times New Roman" w:cs="Times New Roman"/>
          <w:sz w:val="24"/>
          <w:szCs w:val="24"/>
        </w:rPr>
        <w:t>GHR_RecidRates</w:t>
      </w:r>
      <w:proofErr w:type="spellEnd"/>
      <w:r w:rsidR="00A01479">
        <w:rPr>
          <w:rFonts w:ascii="Times New Roman" w:hAnsi="Times New Roman" w:cs="Times New Roman"/>
          <w:sz w:val="24"/>
          <w:szCs w:val="24"/>
        </w:rPr>
        <w:t>”</w:t>
      </w:r>
      <w:r w:rsidR="00BD2FF8">
        <w:rPr>
          <w:rFonts w:ascii="Times New Roman" w:hAnsi="Times New Roman" w:cs="Times New Roman"/>
          <w:sz w:val="24"/>
          <w:szCs w:val="24"/>
        </w:rPr>
        <w:t xml:space="preserve"> tab/worksheet. </w:t>
      </w:r>
    </w:p>
    <w:p w14:paraId="01CA2B4F" w14:textId="77777777" w:rsidR="00BD2FF8" w:rsidRDefault="00BD2FF8" w:rsidP="00FF0924">
      <w:pPr>
        <w:spacing w:after="0" w:line="240" w:lineRule="auto"/>
        <w:rPr>
          <w:rFonts w:ascii="Times New Roman" w:hAnsi="Times New Roman" w:cs="Times New Roman"/>
          <w:sz w:val="24"/>
          <w:szCs w:val="24"/>
        </w:rPr>
      </w:pPr>
    </w:p>
    <w:p w14:paraId="43EC1E89" w14:textId="77777777" w:rsidR="001C2B0F" w:rsidRDefault="008B3AA7"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The h</w:t>
      </w:r>
      <w:r w:rsidR="00BD2FF8">
        <w:rPr>
          <w:rFonts w:ascii="Times New Roman" w:hAnsi="Times New Roman" w:cs="Times New Roman"/>
          <w:sz w:val="24"/>
          <w:szCs w:val="24"/>
        </w:rPr>
        <w:t xml:space="preserve">azard ratio (cell C6 of the </w:t>
      </w:r>
      <w:r w:rsidR="00A01479">
        <w:rPr>
          <w:rFonts w:ascii="Times New Roman" w:hAnsi="Times New Roman" w:cs="Times New Roman"/>
          <w:sz w:val="24"/>
          <w:szCs w:val="24"/>
        </w:rPr>
        <w:t>“</w:t>
      </w:r>
      <w:proofErr w:type="spellStart"/>
      <w:r w:rsidR="00BD2FF8">
        <w:rPr>
          <w:rFonts w:ascii="Times New Roman" w:hAnsi="Times New Roman" w:cs="Times New Roman"/>
          <w:sz w:val="24"/>
          <w:szCs w:val="24"/>
        </w:rPr>
        <w:t>Get_HR</w:t>
      </w:r>
      <w:proofErr w:type="spellEnd"/>
      <w:r w:rsidR="00A01479">
        <w:rPr>
          <w:rFonts w:ascii="Times New Roman" w:hAnsi="Times New Roman" w:cs="Times New Roman"/>
          <w:sz w:val="24"/>
          <w:szCs w:val="24"/>
        </w:rPr>
        <w:t>”</w:t>
      </w:r>
      <w:r w:rsidR="00BD2FF8">
        <w:rPr>
          <w:rFonts w:ascii="Times New Roman" w:hAnsi="Times New Roman" w:cs="Times New Roman"/>
          <w:sz w:val="24"/>
          <w:szCs w:val="24"/>
        </w:rPr>
        <w:t xml:space="preserve"> tab</w:t>
      </w:r>
      <w:r w:rsidR="00A01479">
        <w:rPr>
          <w:rFonts w:ascii="Times New Roman" w:hAnsi="Times New Roman" w:cs="Times New Roman"/>
          <w:sz w:val="24"/>
          <w:szCs w:val="24"/>
        </w:rPr>
        <w:t>/worksheet</w:t>
      </w:r>
      <w:r>
        <w:rPr>
          <w:rFonts w:ascii="Times New Roman" w:hAnsi="Times New Roman" w:cs="Times New Roman"/>
          <w:sz w:val="24"/>
          <w:szCs w:val="24"/>
        </w:rPr>
        <w:t>) starts at an arbitrary value</w:t>
      </w:r>
      <w:r w:rsidR="003A156C">
        <w:rPr>
          <w:rFonts w:ascii="Times New Roman" w:hAnsi="Times New Roman" w:cs="Times New Roman"/>
          <w:sz w:val="24"/>
          <w:szCs w:val="24"/>
        </w:rPr>
        <w:t xml:space="preserve">.  It represents the initial hazard rate </w:t>
      </w:r>
      <w:r w:rsidR="00E20FAE">
        <w:rPr>
          <w:rFonts w:ascii="Times New Roman" w:hAnsi="Times New Roman" w:cs="Times New Roman"/>
          <w:sz w:val="24"/>
          <w:szCs w:val="24"/>
        </w:rPr>
        <w:t>of</w:t>
      </w:r>
      <w:r w:rsidR="003A156C">
        <w:rPr>
          <w:rFonts w:ascii="Times New Roman" w:hAnsi="Times New Roman" w:cs="Times New Roman"/>
          <w:sz w:val="24"/>
          <w:szCs w:val="24"/>
        </w:rPr>
        <w:t xml:space="preserve"> the first year, or the </w:t>
      </w:r>
      <w:r w:rsidR="003957CC">
        <w:rPr>
          <w:rFonts w:ascii="Times New Roman" w:hAnsi="Times New Roman" w:cs="Times New Roman"/>
          <w:sz w:val="24"/>
          <w:szCs w:val="24"/>
        </w:rPr>
        <w:t xml:space="preserve">“probability of </w:t>
      </w:r>
      <w:r w:rsidR="002135A7">
        <w:rPr>
          <w:rFonts w:ascii="Times New Roman" w:hAnsi="Times New Roman" w:cs="Times New Roman"/>
          <w:sz w:val="24"/>
          <w:szCs w:val="24"/>
        </w:rPr>
        <w:t xml:space="preserve">an individual </w:t>
      </w:r>
      <w:r w:rsidR="003957CC">
        <w:rPr>
          <w:rFonts w:ascii="Times New Roman" w:hAnsi="Times New Roman" w:cs="Times New Roman"/>
          <w:sz w:val="24"/>
          <w:szCs w:val="24"/>
        </w:rPr>
        <w:t xml:space="preserve">not </w:t>
      </w:r>
      <w:r w:rsidR="003A156C">
        <w:rPr>
          <w:rFonts w:ascii="Times New Roman" w:hAnsi="Times New Roman" w:cs="Times New Roman"/>
          <w:sz w:val="24"/>
          <w:szCs w:val="24"/>
        </w:rPr>
        <w:t xml:space="preserve">surviving” </w:t>
      </w:r>
      <w:r w:rsidR="00E20FAE">
        <w:rPr>
          <w:rFonts w:ascii="Times New Roman" w:hAnsi="Times New Roman" w:cs="Times New Roman"/>
          <w:sz w:val="24"/>
          <w:szCs w:val="24"/>
        </w:rPr>
        <w:t>the first year</w:t>
      </w:r>
      <w:r w:rsidR="00403A06">
        <w:rPr>
          <w:rFonts w:ascii="Times New Roman" w:hAnsi="Times New Roman" w:cs="Times New Roman"/>
          <w:sz w:val="24"/>
          <w:szCs w:val="24"/>
        </w:rPr>
        <w:t xml:space="preserve">.  It is the expected sexual recidivism rate of the first </w:t>
      </w:r>
      <w:r w:rsidR="003A156C">
        <w:rPr>
          <w:rFonts w:ascii="Times New Roman" w:hAnsi="Times New Roman" w:cs="Times New Roman"/>
          <w:sz w:val="24"/>
          <w:szCs w:val="24"/>
        </w:rPr>
        <w:t>year</w:t>
      </w:r>
      <w:r w:rsidR="00403A06">
        <w:rPr>
          <w:rFonts w:ascii="Times New Roman" w:hAnsi="Times New Roman" w:cs="Times New Roman"/>
          <w:sz w:val="24"/>
          <w:szCs w:val="24"/>
        </w:rPr>
        <w:t xml:space="preserve">.  </w:t>
      </w:r>
      <w:r w:rsidR="00DD2917">
        <w:rPr>
          <w:rFonts w:ascii="Times New Roman" w:hAnsi="Times New Roman" w:cs="Times New Roman"/>
          <w:sz w:val="24"/>
          <w:szCs w:val="24"/>
        </w:rPr>
        <w:t>This value is w</w:t>
      </w:r>
      <w:r w:rsidR="003A156C">
        <w:rPr>
          <w:rFonts w:ascii="Times New Roman" w:hAnsi="Times New Roman" w:cs="Times New Roman"/>
          <w:sz w:val="24"/>
          <w:szCs w:val="24"/>
        </w:rPr>
        <w:t>ritten into cell</w:t>
      </w:r>
      <w:r w:rsidR="00DD2917">
        <w:rPr>
          <w:rFonts w:ascii="Times New Roman" w:hAnsi="Times New Roman" w:cs="Times New Roman"/>
          <w:sz w:val="24"/>
          <w:szCs w:val="24"/>
        </w:rPr>
        <w:t xml:space="preserve"> D2 of the </w:t>
      </w:r>
      <w:r w:rsidR="00A01479">
        <w:rPr>
          <w:rFonts w:ascii="Times New Roman" w:hAnsi="Times New Roman" w:cs="Times New Roman"/>
          <w:sz w:val="24"/>
          <w:szCs w:val="24"/>
        </w:rPr>
        <w:t>“</w:t>
      </w:r>
      <w:proofErr w:type="spellStart"/>
      <w:r w:rsidR="00DD2917">
        <w:rPr>
          <w:rFonts w:ascii="Times New Roman" w:hAnsi="Times New Roman" w:cs="Times New Roman"/>
          <w:sz w:val="24"/>
          <w:szCs w:val="24"/>
        </w:rPr>
        <w:t>GHR_RecidRates</w:t>
      </w:r>
      <w:proofErr w:type="spellEnd"/>
      <w:r w:rsidR="00A01479">
        <w:rPr>
          <w:rFonts w:ascii="Times New Roman" w:hAnsi="Times New Roman" w:cs="Times New Roman"/>
          <w:sz w:val="24"/>
          <w:szCs w:val="24"/>
        </w:rPr>
        <w:t>”</w:t>
      </w:r>
      <w:r w:rsidR="00DD2917">
        <w:rPr>
          <w:rFonts w:ascii="Times New Roman" w:hAnsi="Times New Roman" w:cs="Times New Roman"/>
          <w:sz w:val="24"/>
          <w:szCs w:val="24"/>
        </w:rPr>
        <w:t xml:space="preserve"> tab/worksheet (the value is shown in red).  </w:t>
      </w:r>
      <w:r w:rsidR="00A01479">
        <w:rPr>
          <w:rFonts w:ascii="Times New Roman" w:hAnsi="Times New Roman" w:cs="Times New Roman"/>
          <w:sz w:val="24"/>
          <w:szCs w:val="24"/>
        </w:rPr>
        <w:t>The log odds (or ‘logit’) of the</w:t>
      </w:r>
      <w:r w:rsidR="003957CC">
        <w:rPr>
          <w:rFonts w:ascii="Times New Roman" w:hAnsi="Times New Roman" w:cs="Times New Roman"/>
          <w:sz w:val="24"/>
          <w:szCs w:val="24"/>
        </w:rPr>
        <w:t xml:space="preserve"> starting hazard rate is calculated in C2</w:t>
      </w:r>
      <w:r w:rsidR="00E20FAE">
        <w:rPr>
          <w:rFonts w:ascii="Times New Roman" w:hAnsi="Times New Roman" w:cs="Times New Roman"/>
          <w:sz w:val="24"/>
          <w:szCs w:val="24"/>
        </w:rPr>
        <w:t xml:space="preserve"> of the </w:t>
      </w:r>
      <w:r w:rsidR="00A01479">
        <w:rPr>
          <w:rFonts w:ascii="Times New Roman" w:hAnsi="Times New Roman" w:cs="Times New Roman"/>
          <w:sz w:val="24"/>
          <w:szCs w:val="24"/>
        </w:rPr>
        <w:t>“</w:t>
      </w:r>
      <w:proofErr w:type="spellStart"/>
      <w:r w:rsidR="00A01479">
        <w:rPr>
          <w:rFonts w:ascii="Times New Roman" w:hAnsi="Times New Roman" w:cs="Times New Roman"/>
          <w:sz w:val="24"/>
          <w:szCs w:val="24"/>
        </w:rPr>
        <w:t>GHR_RecidRates</w:t>
      </w:r>
      <w:proofErr w:type="spellEnd"/>
      <w:r w:rsidR="00A01479">
        <w:rPr>
          <w:rFonts w:ascii="Times New Roman" w:hAnsi="Times New Roman" w:cs="Times New Roman"/>
          <w:sz w:val="24"/>
          <w:szCs w:val="24"/>
        </w:rPr>
        <w:t>” tab/</w:t>
      </w:r>
      <w:r w:rsidR="00E20FAE">
        <w:rPr>
          <w:rFonts w:ascii="Times New Roman" w:hAnsi="Times New Roman" w:cs="Times New Roman"/>
          <w:sz w:val="24"/>
          <w:szCs w:val="24"/>
        </w:rPr>
        <w:t xml:space="preserve">worksheet.  The probability of surviving the first year (1 - the hazard rate) is computed in cell </w:t>
      </w:r>
      <w:r w:rsidR="00E20FAE">
        <w:rPr>
          <w:rFonts w:ascii="Times New Roman" w:hAnsi="Times New Roman" w:cs="Times New Roman"/>
          <w:sz w:val="24"/>
          <w:szCs w:val="24"/>
        </w:rPr>
        <w:lastRenderedPageBreak/>
        <w:t>E2</w:t>
      </w:r>
      <w:r w:rsidR="003957CC">
        <w:rPr>
          <w:rFonts w:ascii="Times New Roman" w:hAnsi="Times New Roman" w:cs="Times New Roman"/>
          <w:sz w:val="24"/>
          <w:szCs w:val="24"/>
        </w:rPr>
        <w:t xml:space="preserve">, </w:t>
      </w:r>
      <w:r w:rsidR="00E20FAE">
        <w:rPr>
          <w:rFonts w:ascii="Times New Roman" w:hAnsi="Times New Roman" w:cs="Times New Roman"/>
          <w:sz w:val="24"/>
          <w:szCs w:val="24"/>
        </w:rPr>
        <w:t>the</w:t>
      </w:r>
      <w:r w:rsidR="00A01479">
        <w:rPr>
          <w:rFonts w:ascii="Times New Roman" w:hAnsi="Times New Roman" w:cs="Times New Roman"/>
          <w:sz w:val="24"/>
          <w:szCs w:val="24"/>
        </w:rPr>
        <w:t xml:space="preserve"> cumulative survival rate to that</w:t>
      </w:r>
      <w:r w:rsidR="00E20FAE">
        <w:rPr>
          <w:rFonts w:ascii="Times New Roman" w:hAnsi="Times New Roman" w:cs="Times New Roman"/>
          <w:sz w:val="24"/>
          <w:szCs w:val="24"/>
        </w:rPr>
        <w:t xml:space="preserve"> point </w:t>
      </w:r>
      <w:r w:rsidR="00A01479">
        <w:rPr>
          <w:rFonts w:ascii="Times New Roman" w:hAnsi="Times New Roman" w:cs="Times New Roman"/>
          <w:sz w:val="24"/>
          <w:szCs w:val="24"/>
        </w:rPr>
        <w:t xml:space="preserve">in time </w:t>
      </w:r>
      <w:r w:rsidR="00403A06">
        <w:rPr>
          <w:rFonts w:ascii="Times New Roman" w:hAnsi="Times New Roman" w:cs="Times New Roman"/>
          <w:sz w:val="24"/>
          <w:szCs w:val="24"/>
        </w:rPr>
        <w:t xml:space="preserve">is </w:t>
      </w:r>
      <w:r w:rsidR="00E20FAE">
        <w:rPr>
          <w:rFonts w:ascii="Times New Roman" w:hAnsi="Times New Roman" w:cs="Times New Roman"/>
          <w:sz w:val="24"/>
          <w:szCs w:val="24"/>
        </w:rPr>
        <w:t>calculated in ce</w:t>
      </w:r>
      <w:r w:rsidR="001C2B0F">
        <w:rPr>
          <w:rFonts w:ascii="Times New Roman" w:hAnsi="Times New Roman" w:cs="Times New Roman"/>
          <w:sz w:val="24"/>
          <w:szCs w:val="24"/>
        </w:rPr>
        <w:t>ll F2, and the recidivism rate [</w:t>
      </w:r>
      <w:r w:rsidR="00E20FAE">
        <w:rPr>
          <w:rFonts w:ascii="Times New Roman" w:hAnsi="Times New Roman" w:cs="Times New Roman"/>
          <w:sz w:val="24"/>
          <w:szCs w:val="24"/>
        </w:rPr>
        <w:t>1</w:t>
      </w:r>
      <w:r w:rsidR="001C2B0F">
        <w:rPr>
          <w:rFonts w:ascii="Times New Roman" w:hAnsi="Times New Roman" w:cs="Times New Roman"/>
          <w:sz w:val="24"/>
          <w:szCs w:val="24"/>
        </w:rPr>
        <w:t>00*(1- the cumulative survival)]</w:t>
      </w:r>
      <w:r w:rsidR="00E20FAE">
        <w:rPr>
          <w:rFonts w:ascii="Times New Roman" w:hAnsi="Times New Roman" w:cs="Times New Roman"/>
          <w:sz w:val="24"/>
          <w:szCs w:val="24"/>
        </w:rPr>
        <w:t xml:space="preserve"> </w:t>
      </w:r>
      <w:r w:rsidR="00403A06">
        <w:rPr>
          <w:rFonts w:ascii="Times New Roman" w:hAnsi="Times New Roman" w:cs="Times New Roman"/>
          <w:sz w:val="24"/>
          <w:szCs w:val="24"/>
        </w:rPr>
        <w:t xml:space="preserve">is </w:t>
      </w:r>
      <w:r w:rsidR="00E20FAE">
        <w:rPr>
          <w:rFonts w:ascii="Times New Roman" w:hAnsi="Times New Roman" w:cs="Times New Roman"/>
          <w:sz w:val="24"/>
          <w:szCs w:val="24"/>
        </w:rPr>
        <w:t>computed in cell G2.</w:t>
      </w:r>
      <w:r w:rsidR="00995217">
        <w:rPr>
          <w:rFonts w:ascii="Times New Roman" w:hAnsi="Times New Roman" w:cs="Times New Roman"/>
          <w:sz w:val="24"/>
          <w:szCs w:val="24"/>
        </w:rPr>
        <w:t xml:space="preserve">  </w:t>
      </w:r>
    </w:p>
    <w:p w14:paraId="545C4763" w14:textId="77777777" w:rsidR="001C2B0F" w:rsidRDefault="001C2B0F" w:rsidP="00FF0924">
      <w:pPr>
        <w:spacing w:after="0" w:line="240" w:lineRule="auto"/>
        <w:rPr>
          <w:rFonts w:ascii="Times New Roman" w:hAnsi="Times New Roman" w:cs="Times New Roman"/>
          <w:sz w:val="24"/>
          <w:szCs w:val="24"/>
        </w:rPr>
      </w:pPr>
    </w:p>
    <w:p w14:paraId="732B74BB" w14:textId="77777777" w:rsidR="00EC4E12" w:rsidRDefault="00995217"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each subsequent year the cumulative percentage </w:t>
      </w:r>
      <w:r w:rsidR="00702FB6">
        <w:rPr>
          <w:rFonts w:ascii="Times New Roman" w:hAnsi="Times New Roman" w:cs="Times New Roman"/>
          <w:sz w:val="24"/>
          <w:szCs w:val="24"/>
        </w:rPr>
        <w:t xml:space="preserve">of the population </w:t>
      </w:r>
      <w:r>
        <w:rPr>
          <w:rFonts w:ascii="Times New Roman" w:hAnsi="Times New Roman" w:cs="Times New Roman"/>
          <w:sz w:val="24"/>
          <w:szCs w:val="24"/>
        </w:rPr>
        <w:t xml:space="preserve">surviving the prior year </w:t>
      </w:r>
      <w:r w:rsidR="002135A7">
        <w:rPr>
          <w:rFonts w:ascii="Times New Roman" w:hAnsi="Times New Roman" w:cs="Times New Roman"/>
          <w:sz w:val="24"/>
          <w:szCs w:val="24"/>
        </w:rPr>
        <w:t xml:space="preserve">(column F) </w:t>
      </w:r>
      <w:r>
        <w:rPr>
          <w:rFonts w:ascii="Times New Roman" w:hAnsi="Times New Roman" w:cs="Times New Roman"/>
          <w:sz w:val="24"/>
          <w:szCs w:val="24"/>
        </w:rPr>
        <w:t xml:space="preserve">is carried over to </w:t>
      </w:r>
      <w:r w:rsidR="002135A7">
        <w:rPr>
          <w:rFonts w:ascii="Times New Roman" w:hAnsi="Times New Roman" w:cs="Times New Roman"/>
          <w:sz w:val="24"/>
          <w:szCs w:val="24"/>
        </w:rPr>
        <w:t xml:space="preserve">the following year in </w:t>
      </w:r>
      <w:r>
        <w:rPr>
          <w:rFonts w:ascii="Times New Roman" w:hAnsi="Times New Roman" w:cs="Times New Roman"/>
          <w:sz w:val="24"/>
          <w:szCs w:val="24"/>
        </w:rPr>
        <w:t>column B.  The logit of the hazard rate for each subsequent year i</w:t>
      </w:r>
      <w:r w:rsidR="001C2B0F">
        <w:rPr>
          <w:rFonts w:ascii="Times New Roman" w:hAnsi="Times New Roman" w:cs="Times New Roman"/>
          <w:sz w:val="24"/>
          <w:szCs w:val="24"/>
        </w:rPr>
        <w:t>s reduced by .130 log units of</w:t>
      </w:r>
      <w:r>
        <w:rPr>
          <w:rFonts w:ascii="Times New Roman" w:hAnsi="Times New Roman" w:cs="Times New Roman"/>
          <w:sz w:val="24"/>
          <w:szCs w:val="24"/>
        </w:rPr>
        <w:t xml:space="preserve"> the prior year to reflect the reduction in risk associated with being one year in the community without sexually reoffending</w:t>
      </w:r>
      <w:r w:rsidR="00EC4E12">
        <w:rPr>
          <w:rFonts w:ascii="Times New Roman" w:hAnsi="Times New Roman" w:cs="Times New Roman"/>
          <w:sz w:val="24"/>
          <w:szCs w:val="24"/>
        </w:rPr>
        <w:t xml:space="preserve"> (column C)</w:t>
      </w:r>
      <w:r>
        <w:rPr>
          <w:rFonts w:ascii="Times New Roman" w:hAnsi="Times New Roman" w:cs="Times New Roman"/>
          <w:sz w:val="24"/>
          <w:szCs w:val="24"/>
        </w:rPr>
        <w:t>.  The log odds of the hazard rate is converted back to a probability of reoffending for that year</w:t>
      </w:r>
      <w:r w:rsidR="00EC4E12">
        <w:rPr>
          <w:rFonts w:ascii="Times New Roman" w:hAnsi="Times New Roman" w:cs="Times New Roman"/>
          <w:sz w:val="24"/>
          <w:szCs w:val="24"/>
        </w:rPr>
        <w:t xml:space="preserve"> </w:t>
      </w:r>
      <w:r w:rsidR="001C2B0F">
        <w:rPr>
          <w:rFonts w:ascii="Times New Roman" w:hAnsi="Times New Roman" w:cs="Times New Roman"/>
          <w:sz w:val="24"/>
          <w:szCs w:val="24"/>
        </w:rPr>
        <w:t>usin</w:t>
      </w:r>
      <w:r w:rsidR="000B56E0">
        <w:rPr>
          <w:rFonts w:ascii="Times New Roman" w:hAnsi="Times New Roman" w:cs="Times New Roman"/>
          <w:sz w:val="24"/>
          <w:szCs w:val="24"/>
        </w:rPr>
        <w:t xml:space="preserve">g the logistic linking function (column D), which </w:t>
      </w:r>
      <w:r>
        <w:rPr>
          <w:rFonts w:ascii="Times New Roman" w:hAnsi="Times New Roman" w:cs="Times New Roman"/>
          <w:sz w:val="24"/>
          <w:szCs w:val="24"/>
        </w:rPr>
        <w:t xml:space="preserve">is used to calculate </w:t>
      </w:r>
      <w:r w:rsidR="001C2B0F">
        <w:rPr>
          <w:rFonts w:ascii="Times New Roman" w:hAnsi="Times New Roman" w:cs="Times New Roman"/>
          <w:sz w:val="24"/>
          <w:szCs w:val="24"/>
        </w:rPr>
        <w:t>pro</w:t>
      </w:r>
      <w:r w:rsidR="000B56E0">
        <w:rPr>
          <w:rFonts w:ascii="Times New Roman" w:hAnsi="Times New Roman" w:cs="Times New Roman"/>
          <w:sz w:val="24"/>
          <w:szCs w:val="24"/>
        </w:rPr>
        <w:t>bability o</w:t>
      </w:r>
      <w:r>
        <w:rPr>
          <w:rFonts w:ascii="Times New Roman" w:hAnsi="Times New Roman" w:cs="Times New Roman"/>
          <w:sz w:val="24"/>
          <w:szCs w:val="24"/>
        </w:rPr>
        <w:t xml:space="preserve">f </w:t>
      </w:r>
      <w:r w:rsidR="000B56E0">
        <w:rPr>
          <w:rFonts w:ascii="Times New Roman" w:hAnsi="Times New Roman" w:cs="Times New Roman"/>
          <w:sz w:val="24"/>
          <w:szCs w:val="24"/>
        </w:rPr>
        <w:t>i</w:t>
      </w:r>
      <w:r w:rsidR="001C2B0F">
        <w:rPr>
          <w:rFonts w:ascii="Times New Roman" w:hAnsi="Times New Roman" w:cs="Times New Roman"/>
          <w:sz w:val="24"/>
          <w:szCs w:val="24"/>
        </w:rPr>
        <w:t>ndividual</w:t>
      </w:r>
      <w:r w:rsidR="000B56E0">
        <w:rPr>
          <w:rFonts w:ascii="Times New Roman" w:hAnsi="Times New Roman" w:cs="Times New Roman"/>
          <w:sz w:val="24"/>
          <w:szCs w:val="24"/>
        </w:rPr>
        <w:t>s</w:t>
      </w:r>
      <w:r>
        <w:rPr>
          <w:rFonts w:ascii="Times New Roman" w:hAnsi="Times New Roman" w:cs="Times New Roman"/>
          <w:sz w:val="24"/>
          <w:szCs w:val="24"/>
        </w:rPr>
        <w:t xml:space="preserve"> </w:t>
      </w:r>
      <w:r w:rsidR="000B56E0">
        <w:rPr>
          <w:rFonts w:ascii="Times New Roman" w:hAnsi="Times New Roman" w:cs="Times New Roman"/>
          <w:sz w:val="24"/>
          <w:szCs w:val="24"/>
        </w:rPr>
        <w:t xml:space="preserve">entering that year </w:t>
      </w:r>
      <w:r w:rsidR="00EC4E12">
        <w:rPr>
          <w:rFonts w:ascii="Times New Roman" w:hAnsi="Times New Roman" w:cs="Times New Roman"/>
          <w:sz w:val="24"/>
          <w:szCs w:val="24"/>
        </w:rPr>
        <w:t>t</w:t>
      </w:r>
      <w:r w:rsidR="001C2B0F">
        <w:rPr>
          <w:rFonts w:ascii="Times New Roman" w:hAnsi="Times New Roman" w:cs="Times New Roman"/>
          <w:sz w:val="24"/>
          <w:szCs w:val="24"/>
        </w:rPr>
        <w:t>o ‘</w:t>
      </w:r>
      <w:r w:rsidR="00EC4E12">
        <w:rPr>
          <w:rFonts w:ascii="Times New Roman" w:hAnsi="Times New Roman" w:cs="Times New Roman"/>
          <w:sz w:val="24"/>
          <w:szCs w:val="24"/>
        </w:rPr>
        <w:t>survive</w:t>
      </w:r>
      <w:r w:rsidR="001C2B0F">
        <w:rPr>
          <w:rFonts w:ascii="Times New Roman" w:hAnsi="Times New Roman" w:cs="Times New Roman"/>
          <w:sz w:val="24"/>
          <w:szCs w:val="24"/>
        </w:rPr>
        <w:t>’</w:t>
      </w:r>
      <w:r w:rsidR="00EC4E12">
        <w:rPr>
          <w:rFonts w:ascii="Times New Roman" w:hAnsi="Times New Roman" w:cs="Times New Roman"/>
          <w:sz w:val="24"/>
          <w:szCs w:val="24"/>
        </w:rPr>
        <w:t xml:space="preserve"> the year </w:t>
      </w:r>
      <w:r w:rsidR="001C2B0F">
        <w:rPr>
          <w:rFonts w:ascii="Times New Roman" w:hAnsi="Times New Roman" w:cs="Times New Roman"/>
          <w:sz w:val="24"/>
          <w:szCs w:val="24"/>
        </w:rPr>
        <w:t xml:space="preserve">without sexually reoffending </w:t>
      </w:r>
      <w:r w:rsidR="00EC4E12">
        <w:rPr>
          <w:rFonts w:ascii="Times New Roman" w:hAnsi="Times New Roman" w:cs="Times New Roman"/>
          <w:sz w:val="24"/>
          <w:szCs w:val="24"/>
        </w:rPr>
        <w:t>(column E)</w:t>
      </w:r>
      <w:r w:rsidR="001C2B0F">
        <w:rPr>
          <w:rFonts w:ascii="Times New Roman" w:hAnsi="Times New Roman" w:cs="Times New Roman"/>
          <w:sz w:val="24"/>
          <w:szCs w:val="24"/>
        </w:rPr>
        <w:t>.  T</w:t>
      </w:r>
      <w:r w:rsidR="00EC4E12">
        <w:rPr>
          <w:rFonts w:ascii="Times New Roman" w:hAnsi="Times New Roman" w:cs="Times New Roman"/>
          <w:sz w:val="24"/>
          <w:szCs w:val="24"/>
        </w:rPr>
        <w:t>he cumulative survival r</w:t>
      </w:r>
      <w:r w:rsidR="001C2B0F">
        <w:rPr>
          <w:rFonts w:ascii="Times New Roman" w:hAnsi="Times New Roman" w:cs="Times New Roman"/>
          <w:sz w:val="24"/>
          <w:szCs w:val="24"/>
        </w:rPr>
        <w:t xml:space="preserve">ate as of the end of that year (column F) is calculated by </w:t>
      </w:r>
      <w:r w:rsidR="002C6470">
        <w:rPr>
          <w:rFonts w:ascii="Times New Roman" w:hAnsi="Times New Roman" w:cs="Times New Roman"/>
          <w:sz w:val="24"/>
          <w:szCs w:val="24"/>
        </w:rPr>
        <w:t xml:space="preserve">multiplying </w:t>
      </w:r>
      <w:r w:rsidR="001C2B0F">
        <w:rPr>
          <w:rFonts w:ascii="Times New Roman" w:hAnsi="Times New Roman" w:cs="Times New Roman"/>
          <w:sz w:val="24"/>
          <w:szCs w:val="24"/>
        </w:rPr>
        <w:t>the percentage of the population entering the year (column B)</w:t>
      </w:r>
      <w:r w:rsidR="002C6470">
        <w:rPr>
          <w:rFonts w:ascii="Times New Roman" w:hAnsi="Times New Roman" w:cs="Times New Roman"/>
          <w:sz w:val="24"/>
          <w:szCs w:val="24"/>
        </w:rPr>
        <w:t xml:space="preserve"> by the probability of surviving that year</w:t>
      </w:r>
      <w:r w:rsidR="001C2B0F">
        <w:rPr>
          <w:rFonts w:ascii="Times New Roman" w:hAnsi="Times New Roman" w:cs="Times New Roman"/>
          <w:sz w:val="24"/>
          <w:szCs w:val="24"/>
        </w:rPr>
        <w:t xml:space="preserve"> </w:t>
      </w:r>
      <w:r w:rsidR="002C6470">
        <w:rPr>
          <w:rFonts w:ascii="Times New Roman" w:hAnsi="Times New Roman" w:cs="Times New Roman"/>
          <w:sz w:val="24"/>
          <w:szCs w:val="24"/>
        </w:rPr>
        <w:t>without sexually reoffending (column E</w:t>
      </w:r>
      <w:r w:rsidR="00EC4E12">
        <w:rPr>
          <w:rFonts w:ascii="Times New Roman" w:hAnsi="Times New Roman" w:cs="Times New Roman"/>
          <w:sz w:val="24"/>
          <w:szCs w:val="24"/>
        </w:rPr>
        <w:t>)</w:t>
      </w:r>
      <w:r w:rsidR="002C6470">
        <w:rPr>
          <w:rFonts w:ascii="Times New Roman" w:hAnsi="Times New Roman" w:cs="Times New Roman"/>
          <w:sz w:val="24"/>
          <w:szCs w:val="24"/>
        </w:rPr>
        <w:t xml:space="preserve">.  </w:t>
      </w:r>
      <w:r w:rsidR="00EC4E12">
        <w:rPr>
          <w:rFonts w:ascii="Times New Roman" w:hAnsi="Times New Roman" w:cs="Times New Roman"/>
          <w:sz w:val="24"/>
          <w:szCs w:val="24"/>
        </w:rPr>
        <w:t xml:space="preserve"> </w:t>
      </w:r>
      <w:r w:rsidR="002C6470">
        <w:rPr>
          <w:rFonts w:ascii="Times New Roman" w:hAnsi="Times New Roman" w:cs="Times New Roman"/>
          <w:sz w:val="24"/>
          <w:szCs w:val="24"/>
        </w:rPr>
        <w:t>T</w:t>
      </w:r>
      <w:r w:rsidR="00EC4E12">
        <w:rPr>
          <w:rFonts w:ascii="Times New Roman" w:hAnsi="Times New Roman" w:cs="Times New Roman"/>
          <w:sz w:val="24"/>
          <w:szCs w:val="24"/>
        </w:rPr>
        <w:t>he cumulative recidivism rate to that time point (column G)</w:t>
      </w:r>
      <w:r w:rsidR="000B56E0">
        <w:rPr>
          <w:rFonts w:ascii="Times New Roman" w:hAnsi="Times New Roman" w:cs="Times New Roman"/>
          <w:sz w:val="24"/>
          <w:szCs w:val="24"/>
        </w:rPr>
        <w:t xml:space="preserve"> is equal to 100*[</w:t>
      </w:r>
      <w:r w:rsidR="002C6470">
        <w:rPr>
          <w:rFonts w:ascii="Times New Roman" w:hAnsi="Times New Roman" w:cs="Times New Roman"/>
          <w:sz w:val="24"/>
          <w:szCs w:val="24"/>
        </w:rPr>
        <w:t>1 – the cumu</w:t>
      </w:r>
      <w:r w:rsidR="000B56E0">
        <w:rPr>
          <w:rFonts w:ascii="Times New Roman" w:hAnsi="Times New Roman" w:cs="Times New Roman"/>
          <w:sz w:val="24"/>
          <w:szCs w:val="24"/>
        </w:rPr>
        <w:t>lative survival rate (column F)]</w:t>
      </w:r>
      <w:r w:rsidR="00EC4E12">
        <w:rPr>
          <w:rFonts w:ascii="Times New Roman" w:hAnsi="Times New Roman" w:cs="Times New Roman"/>
          <w:sz w:val="24"/>
          <w:szCs w:val="24"/>
        </w:rPr>
        <w:t>.</w:t>
      </w:r>
    </w:p>
    <w:p w14:paraId="652A2CFB" w14:textId="77777777" w:rsidR="00EC4E12" w:rsidRDefault="00EC4E12" w:rsidP="00FF0924">
      <w:pPr>
        <w:spacing w:after="0" w:line="240" w:lineRule="auto"/>
        <w:rPr>
          <w:rFonts w:ascii="Times New Roman" w:hAnsi="Times New Roman" w:cs="Times New Roman"/>
          <w:sz w:val="24"/>
          <w:szCs w:val="24"/>
        </w:rPr>
      </w:pPr>
    </w:p>
    <w:p w14:paraId="1E0C8D8D" w14:textId="77777777" w:rsidR="000C30F1" w:rsidRDefault="002C6470" w:rsidP="000C30F1">
      <w:pPr>
        <w:spacing w:after="0" w:line="240" w:lineRule="auto"/>
        <w:rPr>
          <w:rFonts w:ascii="Times New Roman" w:hAnsi="Times New Roman" w:cs="Times New Roman"/>
          <w:sz w:val="24"/>
          <w:szCs w:val="24"/>
        </w:rPr>
      </w:pPr>
      <w:r>
        <w:rPr>
          <w:rFonts w:ascii="Times New Roman" w:hAnsi="Times New Roman" w:cs="Times New Roman"/>
          <w:sz w:val="24"/>
          <w:szCs w:val="24"/>
        </w:rPr>
        <w:t>The mathematical process for calculating the cumulative survival and recidivism rates each year is</w:t>
      </w:r>
      <w:r w:rsidR="000C30F1">
        <w:rPr>
          <w:rFonts w:ascii="Times New Roman" w:hAnsi="Times New Roman" w:cs="Times New Roman"/>
          <w:sz w:val="24"/>
          <w:szCs w:val="24"/>
        </w:rPr>
        <w:t>:</w:t>
      </w:r>
    </w:p>
    <w:p w14:paraId="629F1112" w14:textId="77777777" w:rsidR="000C30F1" w:rsidRDefault="000C30F1" w:rsidP="000C30F1">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Bring</w:t>
      </w:r>
      <w:r w:rsidRPr="00210F05">
        <w:rPr>
          <w:rFonts w:ascii="Times New Roman" w:hAnsi="Times New Roman" w:cs="Times New Roman"/>
          <w:sz w:val="24"/>
          <w:szCs w:val="24"/>
        </w:rPr>
        <w:t xml:space="preserve"> the proportion of the population “surviving” </w:t>
      </w:r>
      <w:r>
        <w:rPr>
          <w:rFonts w:ascii="Times New Roman" w:hAnsi="Times New Roman" w:cs="Times New Roman"/>
          <w:sz w:val="24"/>
          <w:szCs w:val="24"/>
        </w:rPr>
        <w:t xml:space="preserve">a given year </w:t>
      </w:r>
      <w:r w:rsidR="00AE5A04">
        <w:rPr>
          <w:rFonts w:ascii="Times New Roman" w:hAnsi="Times New Roman" w:cs="Times New Roman"/>
          <w:sz w:val="24"/>
          <w:szCs w:val="24"/>
        </w:rPr>
        <w:t xml:space="preserve">(column F) </w:t>
      </w:r>
      <w:r w:rsidRPr="00210F05">
        <w:rPr>
          <w:rFonts w:ascii="Times New Roman" w:hAnsi="Times New Roman" w:cs="Times New Roman"/>
          <w:sz w:val="24"/>
          <w:szCs w:val="24"/>
        </w:rPr>
        <w:t xml:space="preserve">to the start of </w:t>
      </w:r>
      <w:r>
        <w:rPr>
          <w:rFonts w:ascii="Times New Roman" w:hAnsi="Times New Roman" w:cs="Times New Roman"/>
          <w:sz w:val="24"/>
          <w:szCs w:val="24"/>
        </w:rPr>
        <w:t xml:space="preserve">the following </w:t>
      </w:r>
      <w:r w:rsidR="00AE5A04">
        <w:rPr>
          <w:rFonts w:ascii="Times New Roman" w:hAnsi="Times New Roman" w:cs="Times New Roman"/>
          <w:sz w:val="24"/>
          <w:szCs w:val="24"/>
        </w:rPr>
        <w:t>year (</w:t>
      </w:r>
      <w:r>
        <w:rPr>
          <w:rFonts w:ascii="Times New Roman" w:hAnsi="Times New Roman" w:cs="Times New Roman"/>
          <w:sz w:val="24"/>
          <w:szCs w:val="24"/>
        </w:rPr>
        <w:t xml:space="preserve">those </w:t>
      </w:r>
      <w:r w:rsidRPr="00210F05">
        <w:rPr>
          <w:rFonts w:ascii="Times New Roman" w:hAnsi="Times New Roman" w:cs="Times New Roman"/>
          <w:sz w:val="24"/>
          <w:szCs w:val="24"/>
        </w:rPr>
        <w:t>re</w:t>
      </w:r>
      <w:r w:rsidR="002C6470">
        <w:rPr>
          <w:rFonts w:ascii="Times New Roman" w:hAnsi="Times New Roman" w:cs="Times New Roman"/>
          <w:sz w:val="24"/>
          <w:szCs w:val="24"/>
        </w:rPr>
        <w:t xml:space="preserve">maining at risk for reoffending </w:t>
      </w:r>
      <w:r w:rsidR="00AE5A04">
        <w:rPr>
          <w:rFonts w:ascii="Times New Roman" w:hAnsi="Times New Roman" w:cs="Times New Roman"/>
          <w:sz w:val="24"/>
          <w:szCs w:val="24"/>
        </w:rPr>
        <w:t xml:space="preserve">during that year in </w:t>
      </w:r>
      <w:r w:rsidRPr="00210F05">
        <w:rPr>
          <w:rFonts w:ascii="Times New Roman" w:hAnsi="Times New Roman" w:cs="Times New Roman"/>
          <w:sz w:val="24"/>
          <w:szCs w:val="24"/>
        </w:rPr>
        <w:t>column B)</w:t>
      </w:r>
      <w:r w:rsidR="00AE5A04">
        <w:rPr>
          <w:rFonts w:ascii="Times New Roman" w:hAnsi="Times New Roman" w:cs="Times New Roman"/>
          <w:sz w:val="24"/>
          <w:szCs w:val="24"/>
        </w:rPr>
        <w:t>.</w:t>
      </w:r>
    </w:p>
    <w:p w14:paraId="0B5EB7E2" w14:textId="77777777" w:rsidR="000C30F1" w:rsidRDefault="000C30F1" w:rsidP="000C30F1">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Link</w:t>
      </w:r>
      <w:r w:rsidR="00AE5A04">
        <w:rPr>
          <w:rFonts w:ascii="Times New Roman" w:hAnsi="Times New Roman" w:cs="Times New Roman"/>
          <w:sz w:val="24"/>
          <w:szCs w:val="24"/>
        </w:rPr>
        <w:t xml:space="preserve"> the hazard rate for a given</w:t>
      </w:r>
      <w:r w:rsidRPr="00210F05">
        <w:rPr>
          <w:rFonts w:ascii="Times New Roman" w:hAnsi="Times New Roman" w:cs="Times New Roman"/>
          <w:sz w:val="24"/>
          <w:szCs w:val="24"/>
        </w:rPr>
        <w:t xml:space="preserve"> year to the prior year’s hazard rate</w:t>
      </w:r>
      <w:r w:rsidR="00AE5A04">
        <w:rPr>
          <w:rFonts w:ascii="Times New Roman" w:hAnsi="Times New Roman" w:cs="Times New Roman"/>
          <w:sz w:val="24"/>
          <w:szCs w:val="24"/>
        </w:rPr>
        <w:t xml:space="preserve"> in logit units</w:t>
      </w:r>
      <w:r w:rsidRPr="00210F05">
        <w:rPr>
          <w:rFonts w:ascii="Times New Roman" w:hAnsi="Times New Roman" w:cs="Times New Roman"/>
          <w:sz w:val="24"/>
          <w:szCs w:val="24"/>
        </w:rPr>
        <w:t xml:space="preserve"> </w:t>
      </w:r>
      <w:r w:rsidR="00AE5A04">
        <w:rPr>
          <w:rFonts w:ascii="Times New Roman" w:hAnsi="Times New Roman" w:cs="Times New Roman"/>
          <w:sz w:val="24"/>
          <w:szCs w:val="24"/>
        </w:rPr>
        <w:t>(column C) and use</w:t>
      </w:r>
      <w:r w:rsidRPr="00210F05">
        <w:rPr>
          <w:rFonts w:ascii="Times New Roman" w:hAnsi="Times New Roman" w:cs="Times New Roman"/>
          <w:sz w:val="24"/>
          <w:szCs w:val="24"/>
        </w:rPr>
        <w:t xml:space="preserve"> the logistic function </w:t>
      </w:r>
      <w:r w:rsidR="00AE5A04">
        <w:rPr>
          <w:rFonts w:ascii="Times New Roman" w:hAnsi="Times New Roman" w:cs="Times New Roman"/>
          <w:sz w:val="24"/>
          <w:szCs w:val="24"/>
        </w:rPr>
        <w:t xml:space="preserve">to compute that year’s hazard rate </w:t>
      </w:r>
      <w:r>
        <w:rPr>
          <w:rFonts w:ascii="Times New Roman" w:hAnsi="Times New Roman" w:cs="Times New Roman"/>
          <w:sz w:val="24"/>
          <w:szCs w:val="24"/>
        </w:rPr>
        <w:t>(column</w:t>
      </w:r>
      <w:r w:rsidR="00AE5A04">
        <w:rPr>
          <w:rFonts w:ascii="Times New Roman" w:hAnsi="Times New Roman" w:cs="Times New Roman"/>
          <w:sz w:val="24"/>
          <w:szCs w:val="24"/>
        </w:rPr>
        <w:t xml:space="preserve"> </w:t>
      </w:r>
      <w:r>
        <w:rPr>
          <w:rFonts w:ascii="Times New Roman" w:hAnsi="Times New Roman" w:cs="Times New Roman"/>
          <w:sz w:val="24"/>
          <w:szCs w:val="24"/>
        </w:rPr>
        <w:t>D)</w:t>
      </w:r>
      <w:r w:rsidR="00AE5A04">
        <w:rPr>
          <w:rFonts w:ascii="Times New Roman" w:hAnsi="Times New Roman" w:cs="Times New Roman"/>
          <w:sz w:val="24"/>
          <w:szCs w:val="24"/>
        </w:rPr>
        <w:t>.</w:t>
      </w:r>
    </w:p>
    <w:p w14:paraId="4BC1127F" w14:textId="77777777" w:rsidR="000C30F1" w:rsidRDefault="000C30F1" w:rsidP="000C30F1">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Calculate</w:t>
      </w:r>
      <w:r w:rsidRPr="00210F05">
        <w:rPr>
          <w:rFonts w:ascii="Times New Roman" w:hAnsi="Times New Roman" w:cs="Times New Roman"/>
          <w:sz w:val="24"/>
          <w:szCs w:val="24"/>
        </w:rPr>
        <w:t xml:space="preserve"> the probability of remaining offense free </w:t>
      </w:r>
      <w:r>
        <w:rPr>
          <w:rFonts w:ascii="Times New Roman" w:hAnsi="Times New Roman" w:cs="Times New Roman"/>
          <w:sz w:val="24"/>
          <w:szCs w:val="24"/>
        </w:rPr>
        <w:t xml:space="preserve">based on that year’s hazard rate </w:t>
      </w:r>
      <w:r w:rsidRPr="00210F05">
        <w:rPr>
          <w:rFonts w:ascii="Times New Roman" w:hAnsi="Times New Roman" w:cs="Times New Roman"/>
          <w:sz w:val="24"/>
          <w:szCs w:val="24"/>
        </w:rPr>
        <w:t>(column E)</w:t>
      </w:r>
      <w:r w:rsidR="00AE5A04">
        <w:rPr>
          <w:rFonts w:ascii="Times New Roman" w:hAnsi="Times New Roman" w:cs="Times New Roman"/>
          <w:sz w:val="24"/>
          <w:szCs w:val="24"/>
        </w:rPr>
        <w:t>.</w:t>
      </w:r>
      <w:r w:rsidRPr="00210F05">
        <w:rPr>
          <w:rFonts w:ascii="Times New Roman" w:hAnsi="Times New Roman" w:cs="Times New Roman"/>
          <w:sz w:val="24"/>
          <w:szCs w:val="24"/>
        </w:rPr>
        <w:t xml:space="preserve"> </w:t>
      </w:r>
    </w:p>
    <w:p w14:paraId="48EF7138" w14:textId="77777777" w:rsidR="000C30F1" w:rsidRDefault="000C30F1" w:rsidP="000C30F1">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Project the </w:t>
      </w:r>
      <w:r w:rsidRPr="00210F05">
        <w:rPr>
          <w:rFonts w:ascii="Times New Roman" w:hAnsi="Times New Roman" w:cs="Times New Roman"/>
          <w:sz w:val="24"/>
          <w:szCs w:val="24"/>
        </w:rPr>
        <w:t xml:space="preserve">cumulative proportion </w:t>
      </w:r>
      <w:r>
        <w:rPr>
          <w:rFonts w:ascii="Times New Roman" w:hAnsi="Times New Roman" w:cs="Times New Roman"/>
          <w:sz w:val="24"/>
          <w:szCs w:val="24"/>
        </w:rPr>
        <w:t>surviving through the end of that</w:t>
      </w:r>
      <w:r w:rsidRPr="00210F05">
        <w:rPr>
          <w:rFonts w:ascii="Times New Roman" w:hAnsi="Times New Roman" w:cs="Times New Roman"/>
          <w:sz w:val="24"/>
          <w:szCs w:val="24"/>
        </w:rPr>
        <w:t xml:space="preserve"> year (column F)</w:t>
      </w:r>
      <w:r w:rsidR="00AE5A04">
        <w:rPr>
          <w:rFonts w:ascii="Times New Roman" w:hAnsi="Times New Roman" w:cs="Times New Roman"/>
          <w:sz w:val="24"/>
          <w:szCs w:val="24"/>
        </w:rPr>
        <w:t>, based on the proportion of the population entering that year times the probability of remaining offense free during the year.</w:t>
      </w:r>
    </w:p>
    <w:p w14:paraId="24D75E71" w14:textId="77777777" w:rsidR="000C30F1" w:rsidRDefault="00AE5A04" w:rsidP="000C30F1">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Finally, c</w:t>
      </w:r>
      <w:r w:rsidR="000C30F1">
        <w:rPr>
          <w:rFonts w:ascii="Times New Roman" w:hAnsi="Times New Roman" w:cs="Times New Roman"/>
          <w:sz w:val="24"/>
          <w:szCs w:val="24"/>
        </w:rPr>
        <w:t xml:space="preserve">ompute the total </w:t>
      </w:r>
      <w:r w:rsidR="006219BB">
        <w:rPr>
          <w:rFonts w:ascii="Times New Roman" w:hAnsi="Times New Roman" w:cs="Times New Roman"/>
          <w:sz w:val="24"/>
          <w:szCs w:val="24"/>
        </w:rPr>
        <w:t xml:space="preserve">recidivism rate </w:t>
      </w:r>
      <w:r w:rsidR="00C30EA9">
        <w:rPr>
          <w:rFonts w:ascii="Times New Roman" w:hAnsi="Times New Roman" w:cs="Times New Roman"/>
          <w:sz w:val="24"/>
          <w:szCs w:val="24"/>
        </w:rPr>
        <w:t xml:space="preserve">as of </w:t>
      </w:r>
      <w:r w:rsidR="006219BB">
        <w:rPr>
          <w:rFonts w:ascii="Times New Roman" w:hAnsi="Times New Roman" w:cs="Times New Roman"/>
          <w:sz w:val="24"/>
          <w:szCs w:val="24"/>
        </w:rPr>
        <w:t>the end</w:t>
      </w:r>
      <w:r>
        <w:rPr>
          <w:rFonts w:ascii="Times New Roman" w:hAnsi="Times New Roman" w:cs="Times New Roman"/>
          <w:sz w:val="24"/>
          <w:szCs w:val="24"/>
        </w:rPr>
        <w:t xml:space="preserve"> o</w:t>
      </w:r>
      <w:r w:rsidR="00C30EA9">
        <w:rPr>
          <w:rFonts w:ascii="Times New Roman" w:hAnsi="Times New Roman" w:cs="Times New Roman"/>
          <w:sz w:val="24"/>
          <w:szCs w:val="24"/>
        </w:rPr>
        <w:t>f that</w:t>
      </w:r>
      <w:r>
        <w:rPr>
          <w:rFonts w:ascii="Times New Roman" w:hAnsi="Times New Roman" w:cs="Times New Roman"/>
          <w:sz w:val="24"/>
          <w:szCs w:val="24"/>
        </w:rPr>
        <w:t xml:space="preserve"> year</w:t>
      </w:r>
      <w:r w:rsidR="002C6470">
        <w:rPr>
          <w:rFonts w:ascii="Times New Roman" w:hAnsi="Times New Roman" w:cs="Times New Roman"/>
          <w:sz w:val="24"/>
          <w:szCs w:val="24"/>
        </w:rPr>
        <w:t xml:space="preserve"> (column G</w:t>
      </w:r>
      <w:r w:rsidR="006219BB">
        <w:rPr>
          <w:rFonts w:ascii="Times New Roman" w:hAnsi="Times New Roman" w:cs="Times New Roman"/>
          <w:sz w:val="24"/>
          <w:szCs w:val="24"/>
        </w:rPr>
        <w:t>)</w:t>
      </w:r>
      <w:r>
        <w:rPr>
          <w:rFonts w:ascii="Times New Roman" w:hAnsi="Times New Roman" w:cs="Times New Roman"/>
          <w:sz w:val="24"/>
          <w:szCs w:val="24"/>
        </w:rPr>
        <w:t>, based on the cumulative survival rate</w:t>
      </w:r>
      <w:r w:rsidR="00C30EA9">
        <w:rPr>
          <w:rFonts w:ascii="Times New Roman" w:hAnsi="Times New Roman" w:cs="Times New Roman"/>
          <w:sz w:val="24"/>
          <w:szCs w:val="24"/>
        </w:rPr>
        <w:t xml:space="preserve"> through the end of that year. </w:t>
      </w:r>
      <w:r w:rsidR="000C30F1">
        <w:rPr>
          <w:rFonts w:ascii="Times New Roman" w:hAnsi="Times New Roman" w:cs="Times New Roman"/>
          <w:sz w:val="24"/>
          <w:szCs w:val="24"/>
        </w:rPr>
        <w:t xml:space="preserve"> </w:t>
      </w:r>
    </w:p>
    <w:p w14:paraId="754EDA82" w14:textId="77777777" w:rsidR="000C30F1" w:rsidRDefault="000C30F1" w:rsidP="00FF0924">
      <w:pPr>
        <w:spacing w:after="0" w:line="240" w:lineRule="auto"/>
        <w:rPr>
          <w:rFonts w:ascii="Times New Roman" w:hAnsi="Times New Roman" w:cs="Times New Roman"/>
          <w:sz w:val="24"/>
          <w:szCs w:val="24"/>
        </w:rPr>
      </w:pPr>
    </w:p>
    <w:p w14:paraId="6D2195AD" w14:textId="77777777" w:rsidR="00E87322" w:rsidRDefault="00C30EA9"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As a</w:t>
      </w:r>
      <w:r w:rsidR="001A34F7">
        <w:rPr>
          <w:rFonts w:ascii="Times New Roman" w:hAnsi="Times New Roman" w:cs="Times New Roman"/>
          <w:sz w:val="24"/>
          <w:szCs w:val="24"/>
        </w:rPr>
        <w:t xml:space="preserve"> </w:t>
      </w:r>
      <w:r>
        <w:rPr>
          <w:rFonts w:ascii="Times New Roman" w:hAnsi="Times New Roman" w:cs="Times New Roman"/>
          <w:sz w:val="24"/>
          <w:szCs w:val="24"/>
        </w:rPr>
        <w:t xml:space="preserve">simple </w:t>
      </w:r>
      <w:r w:rsidR="001A34F7">
        <w:rPr>
          <w:rFonts w:ascii="Times New Roman" w:hAnsi="Times New Roman" w:cs="Times New Roman"/>
          <w:sz w:val="24"/>
          <w:szCs w:val="24"/>
        </w:rPr>
        <w:t>example, the first 5 years of a survival function star</w:t>
      </w:r>
      <w:r>
        <w:rPr>
          <w:rFonts w:ascii="Times New Roman" w:hAnsi="Times New Roman" w:cs="Times New Roman"/>
          <w:sz w:val="24"/>
          <w:szCs w:val="24"/>
        </w:rPr>
        <w:t>t</w:t>
      </w:r>
      <w:r w:rsidR="001A34F7">
        <w:rPr>
          <w:rFonts w:ascii="Times New Roman" w:hAnsi="Times New Roman" w:cs="Times New Roman"/>
          <w:sz w:val="24"/>
          <w:szCs w:val="24"/>
        </w:rPr>
        <w:t xml:space="preserve">ing with an initial hazard </w:t>
      </w:r>
      <w:r>
        <w:rPr>
          <w:rFonts w:ascii="Times New Roman" w:hAnsi="Times New Roman" w:cs="Times New Roman"/>
          <w:sz w:val="24"/>
          <w:szCs w:val="24"/>
        </w:rPr>
        <w:t xml:space="preserve">ratio of .0100 (1.0 percent </w:t>
      </w:r>
      <w:r w:rsidR="00196A32">
        <w:rPr>
          <w:rFonts w:ascii="Times New Roman" w:hAnsi="Times New Roman" w:cs="Times New Roman"/>
          <w:sz w:val="24"/>
          <w:szCs w:val="24"/>
        </w:rPr>
        <w:t>first year re-offense rate</w:t>
      </w:r>
      <w:r w:rsidR="00E87322">
        <w:rPr>
          <w:rFonts w:ascii="Times New Roman" w:hAnsi="Times New Roman" w:cs="Times New Roman"/>
          <w:sz w:val="24"/>
          <w:szCs w:val="24"/>
        </w:rPr>
        <w:t>) is shown in the table below.</w:t>
      </w:r>
    </w:p>
    <w:p w14:paraId="3C77EFC8" w14:textId="77777777" w:rsidR="00C30EA9" w:rsidRDefault="00C30EA9" w:rsidP="00FF0924">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14"/>
        <w:gridCol w:w="1062"/>
        <w:gridCol w:w="1312"/>
        <w:gridCol w:w="1230"/>
        <w:gridCol w:w="1242"/>
        <w:gridCol w:w="1673"/>
        <w:gridCol w:w="1517"/>
      </w:tblGrid>
      <w:tr w:rsidR="00E87322" w14:paraId="0F609934" w14:textId="77777777" w:rsidTr="00E87322">
        <w:tc>
          <w:tcPr>
            <w:tcW w:w="1368" w:type="dxa"/>
            <w:vAlign w:val="center"/>
          </w:tcPr>
          <w:p w14:paraId="60368EB7" w14:textId="77777777" w:rsidR="00E87322" w:rsidRDefault="00E87322" w:rsidP="00120889">
            <w:pPr>
              <w:jc w:val="center"/>
              <w:rPr>
                <w:rFonts w:ascii="Calibri" w:hAnsi="Calibri" w:cs="Calibri"/>
                <w:color w:val="000000"/>
              </w:rPr>
            </w:pPr>
            <w:r>
              <w:rPr>
                <w:rFonts w:ascii="Calibri" w:hAnsi="Calibri" w:cs="Calibri"/>
                <w:color w:val="000000"/>
              </w:rPr>
              <w:t>Year</w:t>
            </w:r>
          </w:p>
        </w:tc>
        <w:tc>
          <w:tcPr>
            <w:tcW w:w="1080" w:type="dxa"/>
            <w:vAlign w:val="center"/>
          </w:tcPr>
          <w:p w14:paraId="280DF220" w14:textId="77777777" w:rsidR="00E87322" w:rsidRDefault="00E87322" w:rsidP="00120889">
            <w:pPr>
              <w:jc w:val="center"/>
              <w:rPr>
                <w:rFonts w:ascii="Calibri" w:hAnsi="Calibri" w:cs="Calibri"/>
                <w:color w:val="000000"/>
              </w:rPr>
            </w:pPr>
            <w:r>
              <w:rPr>
                <w:rFonts w:ascii="Calibri" w:hAnsi="Calibri" w:cs="Calibri"/>
                <w:color w:val="000000"/>
              </w:rPr>
              <w:t>p at risk</w:t>
            </w:r>
          </w:p>
        </w:tc>
        <w:tc>
          <w:tcPr>
            <w:tcW w:w="1350" w:type="dxa"/>
            <w:vAlign w:val="center"/>
          </w:tcPr>
          <w:p w14:paraId="3A0E81D4" w14:textId="77777777" w:rsidR="00E87322" w:rsidRDefault="00E87322" w:rsidP="00120889">
            <w:pPr>
              <w:jc w:val="center"/>
              <w:rPr>
                <w:rFonts w:ascii="Calibri" w:hAnsi="Calibri" w:cs="Calibri"/>
                <w:color w:val="000000"/>
              </w:rPr>
            </w:pPr>
            <w:r>
              <w:rPr>
                <w:rFonts w:ascii="Calibri" w:hAnsi="Calibri" w:cs="Calibri"/>
                <w:color w:val="000000"/>
              </w:rPr>
              <w:t>logit hazard</w:t>
            </w:r>
          </w:p>
        </w:tc>
        <w:tc>
          <w:tcPr>
            <w:tcW w:w="1260" w:type="dxa"/>
            <w:vAlign w:val="center"/>
          </w:tcPr>
          <w:p w14:paraId="59977170" w14:textId="77777777" w:rsidR="00E87322" w:rsidRDefault="00E87322" w:rsidP="00120889">
            <w:pPr>
              <w:jc w:val="center"/>
              <w:rPr>
                <w:rFonts w:ascii="Calibri" w:hAnsi="Calibri" w:cs="Calibri"/>
                <w:color w:val="000000"/>
              </w:rPr>
            </w:pPr>
            <w:r>
              <w:rPr>
                <w:rFonts w:ascii="Calibri" w:hAnsi="Calibri" w:cs="Calibri"/>
                <w:color w:val="000000"/>
              </w:rPr>
              <w:t>Hazard rate</w:t>
            </w:r>
          </w:p>
        </w:tc>
        <w:tc>
          <w:tcPr>
            <w:tcW w:w="1260" w:type="dxa"/>
            <w:vAlign w:val="center"/>
          </w:tcPr>
          <w:p w14:paraId="21E7C435" w14:textId="77777777" w:rsidR="00E87322" w:rsidRDefault="00E87322" w:rsidP="00120889">
            <w:pPr>
              <w:jc w:val="center"/>
              <w:rPr>
                <w:rFonts w:ascii="Calibri" w:hAnsi="Calibri" w:cs="Calibri"/>
                <w:color w:val="000000"/>
              </w:rPr>
            </w:pPr>
            <w:r>
              <w:rPr>
                <w:rFonts w:ascii="Calibri" w:hAnsi="Calibri" w:cs="Calibri"/>
                <w:color w:val="000000"/>
              </w:rPr>
              <w:t>p surviving</w:t>
            </w:r>
          </w:p>
        </w:tc>
        <w:tc>
          <w:tcPr>
            <w:tcW w:w="1710" w:type="dxa"/>
            <w:vAlign w:val="center"/>
          </w:tcPr>
          <w:p w14:paraId="535EFC05" w14:textId="77777777" w:rsidR="00E87322" w:rsidRDefault="00E87322" w:rsidP="00120889">
            <w:pPr>
              <w:jc w:val="center"/>
              <w:rPr>
                <w:rFonts w:ascii="Calibri" w:hAnsi="Calibri" w:cs="Calibri"/>
                <w:color w:val="000000"/>
              </w:rPr>
            </w:pPr>
            <w:r>
              <w:rPr>
                <w:rFonts w:ascii="Calibri" w:hAnsi="Calibri" w:cs="Calibri"/>
                <w:color w:val="000000"/>
              </w:rPr>
              <w:t xml:space="preserve">cumulative </w:t>
            </w:r>
            <w:proofErr w:type="spellStart"/>
            <w:r>
              <w:rPr>
                <w:rFonts w:ascii="Calibri" w:hAnsi="Calibri" w:cs="Calibri"/>
                <w:color w:val="000000"/>
              </w:rPr>
              <w:t>surv</w:t>
            </w:r>
            <w:proofErr w:type="spellEnd"/>
          </w:p>
        </w:tc>
        <w:tc>
          <w:tcPr>
            <w:tcW w:w="1548" w:type="dxa"/>
            <w:vAlign w:val="center"/>
          </w:tcPr>
          <w:p w14:paraId="7DF732B1" w14:textId="77777777" w:rsidR="00E87322" w:rsidRDefault="00E87322" w:rsidP="00120889">
            <w:pPr>
              <w:jc w:val="center"/>
              <w:rPr>
                <w:rFonts w:ascii="Calibri" w:hAnsi="Calibri" w:cs="Calibri"/>
                <w:color w:val="000000"/>
              </w:rPr>
            </w:pPr>
            <w:r>
              <w:rPr>
                <w:rFonts w:ascii="Calibri" w:hAnsi="Calibri" w:cs="Calibri"/>
                <w:color w:val="000000"/>
              </w:rPr>
              <w:t>recidivism rate</w:t>
            </w:r>
          </w:p>
        </w:tc>
      </w:tr>
      <w:tr w:rsidR="00120889" w14:paraId="000ADC53" w14:textId="77777777" w:rsidTr="00C81FBA">
        <w:tc>
          <w:tcPr>
            <w:tcW w:w="1368" w:type="dxa"/>
            <w:vAlign w:val="bottom"/>
          </w:tcPr>
          <w:p w14:paraId="07E21EC2" w14:textId="77777777" w:rsidR="00120889" w:rsidRDefault="00120889" w:rsidP="00120889">
            <w:pPr>
              <w:jc w:val="center"/>
              <w:rPr>
                <w:rFonts w:ascii="Calibri" w:hAnsi="Calibri" w:cs="Calibri"/>
                <w:color w:val="000000"/>
              </w:rPr>
            </w:pPr>
            <w:r>
              <w:rPr>
                <w:rFonts w:ascii="Calibri" w:hAnsi="Calibri" w:cs="Calibri"/>
                <w:color w:val="000000"/>
              </w:rPr>
              <w:t>1</w:t>
            </w:r>
          </w:p>
        </w:tc>
        <w:tc>
          <w:tcPr>
            <w:tcW w:w="1080" w:type="dxa"/>
            <w:vAlign w:val="bottom"/>
          </w:tcPr>
          <w:p w14:paraId="08C2BB2B" w14:textId="77777777" w:rsidR="00120889" w:rsidRDefault="00120889" w:rsidP="00120889">
            <w:pPr>
              <w:jc w:val="center"/>
              <w:rPr>
                <w:rFonts w:ascii="Calibri" w:hAnsi="Calibri" w:cs="Calibri"/>
                <w:color w:val="000000"/>
              </w:rPr>
            </w:pPr>
            <w:r>
              <w:rPr>
                <w:rFonts w:ascii="Calibri" w:hAnsi="Calibri" w:cs="Calibri"/>
                <w:color w:val="000000"/>
              </w:rPr>
              <w:t>1.000</w:t>
            </w:r>
          </w:p>
        </w:tc>
        <w:tc>
          <w:tcPr>
            <w:tcW w:w="1350" w:type="dxa"/>
            <w:vAlign w:val="bottom"/>
          </w:tcPr>
          <w:p w14:paraId="3193070F" w14:textId="77777777" w:rsidR="00120889" w:rsidRDefault="00120889" w:rsidP="00120889">
            <w:pPr>
              <w:jc w:val="center"/>
              <w:rPr>
                <w:rFonts w:ascii="Calibri" w:hAnsi="Calibri" w:cs="Calibri"/>
                <w:color w:val="000000"/>
              </w:rPr>
            </w:pPr>
            <w:r>
              <w:rPr>
                <w:rFonts w:ascii="Calibri" w:hAnsi="Calibri" w:cs="Calibri"/>
                <w:color w:val="000000"/>
              </w:rPr>
              <w:t>-4.5951</w:t>
            </w:r>
          </w:p>
        </w:tc>
        <w:tc>
          <w:tcPr>
            <w:tcW w:w="1260" w:type="dxa"/>
            <w:vAlign w:val="bottom"/>
          </w:tcPr>
          <w:p w14:paraId="7082AB41" w14:textId="77777777" w:rsidR="00120889" w:rsidRDefault="00120889" w:rsidP="00120889">
            <w:pPr>
              <w:jc w:val="center"/>
              <w:rPr>
                <w:rFonts w:ascii="Calibri" w:hAnsi="Calibri" w:cs="Calibri"/>
                <w:color w:val="FF0000"/>
              </w:rPr>
            </w:pPr>
            <w:r>
              <w:rPr>
                <w:rFonts w:ascii="Calibri" w:hAnsi="Calibri" w:cs="Calibri"/>
                <w:color w:val="FF0000"/>
              </w:rPr>
              <w:t>0.0100</w:t>
            </w:r>
          </w:p>
        </w:tc>
        <w:tc>
          <w:tcPr>
            <w:tcW w:w="1260" w:type="dxa"/>
            <w:vAlign w:val="bottom"/>
          </w:tcPr>
          <w:p w14:paraId="5FF0D087" w14:textId="77777777" w:rsidR="00120889" w:rsidRDefault="00120889" w:rsidP="00120889">
            <w:pPr>
              <w:jc w:val="center"/>
              <w:rPr>
                <w:rFonts w:ascii="Calibri" w:hAnsi="Calibri" w:cs="Calibri"/>
                <w:color w:val="000000"/>
              </w:rPr>
            </w:pPr>
            <w:r>
              <w:rPr>
                <w:rFonts w:ascii="Calibri" w:hAnsi="Calibri" w:cs="Calibri"/>
                <w:color w:val="000000"/>
              </w:rPr>
              <w:t>0.9900</w:t>
            </w:r>
          </w:p>
        </w:tc>
        <w:tc>
          <w:tcPr>
            <w:tcW w:w="1710" w:type="dxa"/>
            <w:vAlign w:val="bottom"/>
          </w:tcPr>
          <w:p w14:paraId="347CA4E2" w14:textId="77777777" w:rsidR="00120889" w:rsidRDefault="00120889" w:rsidP="00120889">
            <w:pPr>
              <w:jc w:val="center"/>
              <w:rPr>
                <w:rFonts w:ascii="Calibri" w:hAnsi="Calibri" w:cs="Calibri"/>
                <w:color w:val="000000"/>
              </w:rPr>
            </w:pPr>
            <w:r>
              <w:rPr>
                <w:rFonts w:ascii="Calibri" w:hAnsi="Calibri" w:cs="Calibri"/>
                <w:color w:val="000000"/>
              </w:rPr>
              <w:t>0.9900</w:t>
            </w:r>
          </w:p>
        </w:tc>
        <w:tc>
          <w:tcPr>
            <w:tcW w:w="1548" w:type="dxa"/>
            <w:vAlign w:val="bottom"/>
          </w:tcPr>
          <w:p w14:paraId="2CCE43C6" w14:textId="77777777" w:rsidR="00120889" w:rsidRDefault="00120889" w:rsidP="00120889">
            <w:pPr>
              <w:jc w:val="center"/>
              <w:rPr>
                <w:rFonts w:ascii="Calibri" w:hAnsi="Calibri" w:cs="Calibri"/>
                <w:color w:val="000000"/>
              </w:rPr>
            </w:pPr>
            <w:r>
              <w:rPr>
                <w:rFonts w:ascii="Calibri" w:hAnsi="Calibri" w:cs="Calibri"/>
                <w:color w:val="000000"/>
              </w:rPr>
              <w:t>1.000</w:t>
            </w:r>
          </w:p>
        </w:tc>
      </w:tr>
      <w:tr w:rsidR="00120889" w14:paraId="247552B5" w14:textId="77777777" w:rsidTr="00C81FBA">
        <w:tc>
          <w:tcPr>
            <w:tcW w:w="1368" w:type="dxa"/>
            <w:vAlign w:val="bottom"/>
          </w:tcPr>
          <w:p w14:paraId="3BB30404" w14:textId="77777777" w:rsidR="00120889" w:rsidRDefault="00120889" w:rsidP="00120889">
            <w:pPr>
              <w:jc w:val="center"/>
              <w:rPr>
                <w:rFonts w:ascii="Calibri" w:hAnsi="Calibri" w:cs="Calibri"/>
                <w:color w:val="000000"/>
              </w:rPr>
            </w:pPr>
            <w:r>
              <w:rPr>
                <w:rFonts w:ascii="Calibri" w:hAnsi="Calibri" w:cs="Calibri"/>
                <w:color w:val="000000"/>
              </w:rPr>
              <w:t>2</w:t>
            </w:r>
          </w:p>
        </w:tc>
        <w:tc>
          <w:tcPr>
            <w:tcW w:w="1080" w:type="dxa"/>
            <w:vAlign w:val="bottom"/>
          </w:tcPr>
          <w:p w14:paraId="5DADD935" w14:textId="77777777" w:rsidR="00120889" w:rsidRDefault="00120889" w:rsidP="00120889">
            <w:pPr>
              <w:jc w:val="center"/>
              <w:rPr>
                <w:rFonts w:ascii="Calibri" w:hAnsi="Calibri" w:cs="Calibri"/>
                <w:color w:val="000000"/>
              </w:rPr>
            </w:pPr>
            <w:r>
              <w:rPr>
                <w:rFonts w:ascii="Calibri" w:hAnsi="Calibri" w:cs="Calibri"/>
                <w:color w:val="000000"/>
              </w:rPr>
              <w:t>0.990</w:t>
            </w:r>
          </w:p>
        </w:tc>
        <w:tc>
          <w:tcPr>
            <w:tcW w:w="1350" w:type="dxa"/>
            <w:vAlign w:val="bottom"/>
          </w:tcPr>
          <w:p w14:paraId="71729FDE" w14:textId="77777777" w:rsidR="00120889" w:rsidRDefault="00120889" w:rsidP="00120889">
            <w:pPr>
              <w:jc w:val="center"/>
              <w:rPr>
                <w:rFonts w:ascii="Calibri" w:hAnsi="Calibri" w:cs="Calibri"/>
                <w:color w:val="000000"/>
              </w:rPr>
            </w:pPr>
            <w:r>
              <w:rPr>
                <w:rFonts w:ascii="Calibri" w:hAnsi="Calibri" w:cs="Calibri"/>
                <w:color w:val="000000"/>
              </w:rPr>
              <w:t>-4.7251</w:t>
            </w:r>
          </w:p>
        </w:tc>
        <w:tc>
          <w:tcPr>
            <w:tcW w:w="1260" w:type="dxa"/>
            <w:vAlign w:val="bottom"/>
          </w:tcPr>
          <w:p w14:paraId="556BEAC7" w14:textId="77777777" w:rsidR="00120889" w:rsidRDefault="00120889" w:rsidP="00120889">
            <w:pPr>
              <w:jc w:val="center"/>
              <w:rPr>
                <w:rFonts w:ascii="Calibri" w:hAnsi="Calibri" w:cs="Calibri"/>
                <w:color w:val="000000"/>
              </w:rPr>
            </w:pPr>
            <w:r>
              <w:rPr>
                <w:rFonts w:ascii="Calibri" w:hAnsi="Calibri" w:cs="Calibri"/>
                <w:color w:val="000000"/>
              </w:rPr>
              <w:t>0.0088</w:t>
            </w:r>
          </w:p>
        </w:tc>
        <w:tc>
          <w:tcPr>
            <w:tcW w:w="1260" w:type="dxa"/>
            <w:vAlign w:val="bottom"/>
          </w:tcPr>
          <w:p w14:paraId="281ABA1F" w14:textId="77777777" w:rsidR="00120889" w:rsidRDefault="00120889" w:rsidP="00120889">
            <w:pPr>
              <w:jc w:val="center"/>
              <w:rPr>
                <w:rFonts w:ascii="Calibri" w:hAnsi="Calibri" w:cs="Calibri"/>
                <w:color w:val="000000"/>
              </w:rPr>
            </w:pPr>
            <w:r>
              <w:rPr>
                <w:rFonts w:ascii="Calibri" w:hAnsi="Calibri" w:cs="Calibri"/>
                <w:color w:val="000000"/>
              </w:rPr>
              <w:t>0.9912</w:t>
            </w:r>
          </w:p>
        </w:tc>
        <w:tc>
          <w:tcPr>
            <w:tcW w:w="1710" w:type="dxa"/>
            <w:vAlign w:val="bottom"/>
          </w:tcPr>
          <w:p w14:paraId="24630B55" w14:textId="77777777" w:rsidR="00120889" w:rsidRDefault="00120889" w:rsidP="00120889">
            <w:pPr>
              <w:jc w:val="center"/>
              <w:rPr>
                <w:rFonts w:ascii="Calibri" w:hAnsi="Calibri" w:cs="Calibri"/>
                <w:color w:val="000000"/>
              </w:rPr>
            </w:pPr>
            <w:r>
              <w:rPr>
                <w:rFonts w:ascii="Calibri" w:hAnsi="Calibri" w:cs="Calibri"/>
                <w:color w:val="000000"/>
              </w:rPr>
              <w:t>0.9813</w:t>
            </w:r>
          </w:p>
        </w:tc>
        <w:tc>
          <w:tcPr>
            <w:tcW w:w="1548" w:type="dxa"/>
            <w:vAlign w:val="bottom"/>
          </w:tcPr>
          <w:p w14:paraId="06B68E14" w14:textId="77777777" w:rsidR="00120889" w:rsidRDefault="00120889" w:rsidP="00120889">
            <w:pPr>
              <w:jc w:val="center"/>
              <w:rPr>
                <w:rFonts w:ascii="Calibri" w:hAnsi="Calibri" w:cs="Calibri"/>
                <w:color w:val="000000"/>
              </w:rPr>
            </w:pPr>
            <w:r>
              <w:rPr>
                <w:rFonts w:ascii="Calibri" w:hAnsi="Calibri" w:cs="Calibri"/>
                <w:color w:val="000000"/>
              </w:rPr>
              <w:t>1.870</w:t>
            </w:r>
          </w:p>
        </w:tc>
      </w:tr>
      <w:tr w:rsidR="00120889" w14:paraId="457F3707" w14:textId="77777777" w:rsidTr="00C81FBA">
        <w:tc>
          <w:tcPr>
            <w:tcW w:w="1368" w:type="dxa"/>
            <w:vAlign w:val="bottom"/>
          </w:tcPr>
          <w:p w14:paraId="43F2C17F" w14:textId="77777777" w:rsidR="00120889" w:rsidRDefault="00120889" w:rsidP="00120889">
            <w:pPr>
              <w:jc w:val="center"/>
              <w:rPr>
                <w:rFonts w:ascii="Calibri" w:hAnsi="Calibri" w:cs="Calibri"/>
                <w:color w:val="000000"/>
              </w:rPr>
            </w:pPr>
            <w:r>
              <w:rPr>
                <w:rFonts w:ascii="Calibri" w:hAnsi="Calibri" w:cs="Calibri"/>
                <w:color w:val="000000"/>
              </w:rPr>
              <w:t>3</w:t>
            </w:r>
          </w:p>
        </w:tc>
        <w:tc>
          <w:tcPr>
            <w:tcW w:w="1080" w:type="dxa"/>
            <w:vAlign w:val="bottom"/>
          </w:tcPr>
          <w:p w14:paraId="52F5F383" w14:textId="77777777" w:rsidR="00120889" w:rsidRDefault="00120889" w:rsidP="00120889">
            <w:pPr>
              <w:jc w:val="center"/>
              <w:rPr>
                <w:rFonts w:ascii="Calibri" w:hAnsi="Calibri" w:cs="Calibri"/>
                <w:color w:val="000000"/>
              </w:rPr>
            </w:pPr>
            <w:r>
              <w:rPr>
                <w:rFonts w:ascii="Calibri" w:hAnsi="Calibri" w:cs="Calibri"/>
                <w:color w:val="000000"/>
              </w:rPr>
              <w:t>0.981</w:t>
            </w:r>
          </w:p>
        </w:tc>
        <w:tc>
          <w:tcPr>
            <w:tcW w:w="1350" w:type="dxa"/>
            <w:vAlign w:val="bottom"/>
          </w:tcPr>
          <w:p w14:paraId="408BC248" w14:textId="77777777" w:rsidR="00120889" w:rsidRDefault="00120889" w:rsidP="00120889">
            <w:pPr>
              <w:jc w:val="center"/>
              <w:rPr>
                <w:rFonts w:ascii="Calibri" w:hAnsi="Calibri" w:cs="Calibri"/>
                <w:color w:val="000000"/>
              </w:rPr>
            </w:pPr>
            <w:r>
              <w:rPr>
                <w:rFonts w:ascii="Calibri" w:hAnsi="Calibri" w:cs="Calibri"/>
                <w:color w:val="000000"/>
              </w:rPr>
              <w:t>-4.8551</w:t>
            </w:r>
          </w:p>
        </w:tc>
        <w:tc>
          <w:tcPr>
            <w:tcW w:w="1260" w:type="dxa"/>
            <w:vAlign w:val="bottom"/>
          </w:tcPr>
          <w:p w14:paraId="4CA907E4" w14:textId="77777777" w:rsidR="00120889" w:rsidRDefault="00120889" w:rsidP="00120889">
            <w:pPr>
              <w:jc w:val="center"/>
              <w:rPr>
                <w:rFonts w:ascii="Calibri" w:hAnsi="Calibri" w:cs="Calibri"/>
                <w:color w:val="000000"/>
              </w:rPr>
            </w:pPr>
            <w:r>
              <w:rPr>
                <w:rFonts w:ascii="Calibri" w:hAnsi="Calibri" w:cs="Calibri"/>
                <w:color w:val="000000"/>
              </w:rPr>
              <w:t>0.0077</w:t>
            </w:r>
          </w:p>
        </w:tc>
        <w:tc>
          <w:tcPr>
            <w:tcW w:w="1260" w:type="dxa"/>
            <w:vAlign w:val="bottom"/>
          </w:tcPr>
          <w:p w14:paraId="0BA09777" w14:textId="77777777" w:rsidR="00120889" w:rsidRDefault="00120889" w:rsidP="00120889">
            <w:pPr>
              <w:jc w:val="center"/>
              <w:rPr>
                <w:rFonts w:ascii="Calibri" w:hAnsi="Calibri" w:cs="Calibri"/>
                <w:color w:val="000000"/>
              </w:rPr>
            </w:pPr>
            <w:r>
              <w:rPr>
                <w:rFonts w:ascii="Calibri" w:hAnsi="Calibri" w:cs="Calibri"/>
                <w:color w:val="000000"/>
              </w:rPr>
              <w:t>0.9923</w:t>
            </w:r>
          </w:p>
        </w:tc>
        <w:tc>
          <w:tcPr>
            <w:tcW w:w="1710" w:type="dxa"/>
            <w:vAlign w:val="bottom"/>
          </w:tcPr>
          <w:p w14:paraId="2ADF5758" w14:textId="77777777" w:rsidR="00120889" w:rsidRDefault="00120889" w:rsidP="00120889">
            <w:pPr>
              <w:jc w:val="center"/>
              <w:rPr>
                <w:rFonts w:ascii="Calibri" w:hAnsi="Calibri" w:cs="Calibri"/>
                <w:color w:val="000000"/>
              </w:rPr>
            </w:pPr>
            <w:r>
              <w:rPr>
                <w:rFonts w:ascii="Calibri" w:hAnsi="Calibri" w:cs="Calibri"/>
                <w:color w:val="000000"/>
              </w:rPr>
              <w:t>0.9737</w:t>
            </w:r>
          </w:p>
        </w:tc>
        <w:tc>
          <w:tcPr>
            <w:tcW w:w="1548" w:type="dxa"/>
            <w:vAlign w:val="bottom"/>
          </w:tcPr>
          <w:p w14:paraId="55269DC3" w14:textId="77777777" w:rsidR="00120889" w:rsidRDefault="00120889" w:rsidP="00120889">
            <w:pPr>
              <w:jc w:val="center"/>
              <w:rPr>
                <w:rFonts w:ascii="Calibri" w:hAnsi="Calibri" w:cs="Calibri"/>
                <w:color w:val="000000"/>
              </w:rPr>
            </w:pPr>
            <w:r>
              <w:rPr>
                <w:rFonts w:ascii="Calibri" w:hAnsi="Calibri" w:cs="Calibri"/>
                <w:color w:val="000000"/>
              </w:rPr>
              <w:t>2.629</w:t>
            </w:r>
          </w:p>
        </w:tc>
      </w:tr>
      <w:tr w:rsidR="00120889" w14:paraId="5047A110" w14:textId="77777777" w:rsidTr="00C81FBA">
        <w:tc>
          <w:tcPr>
            <w:tcW w:w="1368" w:type="dxa"/>
            <w:vAlign w:val="bottom"/>
          </w:tcPr>
          <w:p w14:paraId="3C6EE4AE" w14:textId="77777777" w:rsidR="00120889" w:rsidRDefault="00120889" w:rsidP="00120889">
            <w:pPr>
              <w:jc w:val="center"/>
              <w:rPr>
                <w:rFonts w:ascii="Calibri" w:hAnsi="Calibri" w:cs="Calibri"/>
                <w:color w:val="000000"/>
              </w:rPr>
            </w:pPr>
            <w:r>
              <w:rPr>
                <w:rFonts w:ascii="Calibri" w:hAnsi="Calibri" w:cs="Calibri"/>
                <w:color w:val="000000"/>
              </w:rPr>
              <w:t>4</w:t>
            </w:r>
          </w:p>
        </w:tc>
        <w:tc>
          <w:tcPr>
            <w:tcW w:w="1080" w:type="dxa"/>
            <w:vAlign w:val="bottom"/>
          </w:tcPr>
          <w:p w14:paraId="0547B896" w14:textId="77777777" w:rsidR="00120889" w:rsidRDefault="00120889" w:rsidP="00120889">
            <w:pPr>
              <w:jc w:val="center"/>
              <w:rPr>
                <w:rFonts w:ascii="Calibri" w:hAnsi="Calibri" w:cs="Calibri"/>
                <w:color w:val="000000"/>
              </w:rPr>
            </w:pPr>
            <w:r>
              <w:rPr>
                <w:rFonts w:ascii="Calibri" w:hAnsi="Calibri" w:cs="Calibri"/>
                <w:color w:val="000000"/>
              </w:rPr>
              <w:t>0.974</w:t>
            </w:r>
          </w:p>
        </w:tc>
        <w:tc>
          <w:tcPr>
            <w:tcW w:w="1350" w:type="dxa"/>
            <w:vAlign w:val="bottom"/>
          </w:tcPr>
          <w:p w14:paraId="2B811003" w14:textId="77777777" w:rsidR="00120889" w:rsidRDefault="00120889" w:rsidP="00120889">
            <w:pPr>
              <w:jc w:val="center"/>
              <w:rPr>
                <w:rFonts w:ascii="Calibri" w:hAnsi="Calibri" w:cs="Calibri"/>
                <w:color w:val="000000"/>
              </w:rPr>
            </w:pPr>
            <w:r>
              <w:rPr>
                <w:rFonts w:ascii="Calibri" w:hAnsi="Calibri" w:cs="Calibri"/>
                <w:color w:val="000000"/>
              </w:rPr>
              <w:t>-4.9851</w:t>
            </w:r>
          </w:p>
        </w:tc>
        <w:tc>
          <w:tcPr>
            <w:tcW w:w="1260" w:type="dxa"/>
            <w:vAlign w:val="bottom"/>
          </w:tcPr>
          <w:p w14:paraId="114FFB70" w14:textId="77777777" w:rsidR="00120889" w:rsidRDefault="00120889" w:rsidP="00120889">
            <w:pPr>
              <w:jc w:val="center"/>
              <w:rPr>
                <w:rFonts w:ascii="Calibri" w:hAnsi="Calibri" w:cs="Calibri"/>
                <w:color w:val="000000"/>
              </w:rPr>
            </w:pPr>
            <w:r>
              <w:rPr>
                <w:rFonts w:ascii="Calibri" w:hAnsi="Calibri" w:cs="Calibri"/>
                <w:color w:val="000000"/>
              </w:rPr>
              <w:t>0.0068</w:t>
            </w:r>
          </w:p>
        </w:tc>
        <w:tc>
          <w:tcPr>
            <w:tcW w:w="1260" w:type="dxa"/>
            <w:vAlign w:val="bottom"/>
          </w:tcPr>
          <w:p w14:paraId="446DC1F1" w14:textId="77777777" w:rsidR="00120889" w:rsidRDefault="00120889" w:rsidP="00120889">
            <w:pPr>
              <w:jc w:val="center"/>
              <w:rPr>
                <w:rFonts w:ascii="Calibri" w:hAnsi="Calibri" w:cs="Calibri"/>
                <w:color w:val="000000"/>
              </w:rPr>
            </w:pPr>
            <w:r>
              <w:rPr>
                <w:rFonts w:ascii="Calibri" w:hAnsi="Calibri" w:cs="Calibri"/>
                <w:color w:val="000000"/>
              </w:rPr>
              <w:t>0.9932</w:t>
            </w:r>
          </w:p>
        </w:tc>
        <w:tc>
          <w:tcPr>
            <w:tcW w:w="1710" w:type="dxa"/>
            <w:vAlign w:val="bottom"/>
          </w:tcPr>
          <w:p w14:paraId="41B6149D" w14:textId="77777777" w:rsidR="00120889" w:rsidRDefault="00120889" w:rsidP="00120889">
            <w:pPr>
              <w:jc w:val="center"/>
              <w:rPr>
                <w:rFonts w:ascii="Calibri" w:hAnsi="Calibri" w:cs="Calibri"/>
                <w:color w:val="000000"/>
              </w:rPr>
            </w:pPr>
            <w:r>
              <w:rPr>
                <w:rFonts w:ascii="Calibri" w:hAnsi="Calibri" w:cs="Calibri"/>
                <w:color w:val="000000"/>
              </w:rPr>
              <w:t>0.9671</w:t>
            </w:r>
          </w:p>
        </w:tc>
        <w:tc>
          <w:tcPr>
            <w:tcW w:w="1548" w:type="dxa"/>
            <w:vAlign w:val="bottom"/>
          </w:tcPr>
          <w:p w14:paraId="0141B19E" w14:textId="77777777" w:rsidR="00120889" w:rsidRDefault="00120889" w:rsidP="00120889">
            <w:pPr>
              <w:jc w:val="center"/>
              <w:rPr>
                <w:rFonts w:ascii="Calibri" w:hAnsi="Calibri" w:cs="Calibri"/>
                <w:color w:val="000000"/>
              </w:rPr>
            </w:pPr>
            <w:r>
              <w:rPr>
                <w:rFonts w:ascii="Calibri" w:hAnsi="Calibri" w:cs="Calibri"/>
                <w:color w:val="000000"/>
              </w:rPr>
              <w:t>3.290</w:t>
            </w:r>
          </w:p>
        </w:tc>
      </w:tr>
      <w:tr w:rsidR="00120889" w14:paraId="42105660" w14:textId="77777777" w:rsidTr="00C81FBA">
        <w:tc>
          <w:tcPr>
            <w:tcW w:w="1368" w:type="dxa"/>
            <w:vAlign w:val="bottom"/>
          </w:tcPr>
          <w:p w14:paraId="66FAB229" w14:textId="77777777" w:rsidR="00120889" w:rsidRDefault="00120889" w:rsidP="00120889">
            <w:pPr>
              <w:jc w:val="center"/>
              <w:rPr>
                <w:rFonts w:ascii="Calibri" w:hAnsi="Calibri" w:cs="Calibri"/>
                <w:color w:val="000000"/>
              </w:rPr>
            </w:pPr>
            <w:r>
              <w:rPr>
                <w:rFonts w:ascii="Calibri" w:hAnsi="Calibri" w:cs="Calibri"/>
                <w:color w:val="000000"/>
              </w:rPr>
              <w:t>5</w:t>
            </w:r>
          </w:p>
        </w:tc>
        <w:tc>
          <w:tcPr>
            <w:tcW w:w="1080" w:type="dxa"/>
            <w:vAlign w:val="bottom"/>
          </w:tcPr>
          <w:p w14:paraId="3A91C1E9" w14:textId="77777777" w:rsidR="00120889" w:rsidRDefault="00120889" w:rsidP="00120889">
            <w:pPr>
              <w:jc w:val="center"/>
              <w:rPr>
                <w:rFonts w:ascii="Calibri" w:hAnsi="Calibri" w:cs="Calibri"/>
                <w:color w:val="000000"/>
              </w:rPr>
            </w:pPr>
            <w:r>
              <w:rPr>
                <w:rFonts w:ascii="Calibri" w:hAnsi="Calibri" w:cs="Calibri"/>
                <w:color w:val="000000"/>
              </w:rPr>
              <w:t>0.9671</w:t>
            </w:r>
          </w:p>
        </w:tc>
        <w:tc>
          <w:tcPr>
            <w:tcW w:w="1350" w:type="dxa"/>
            <w:vAlign w:val="bottom"/>
          </w:tcPr>
          <w:p w14:paraId="04C8DA85" w14:textId="77777777" w:rsidR="00120889" w:rsidRDefault="00120889" w:rsidP="00120889">
            <w:pPr>
              <w:jc w:val="center"/>
              <w:rPr>
                <w:rFonts w:ascii="Calibri" w:hAnsi="Calibri" w:cs="Calibri"/>
                <w:color w:val="000000"/>
              </w:rPr>
            </w:pPr>
            <w:r>
              <w:rPr>
                <w:rFonts w:ascii="Calibri" w:hAnsi="Calibri" w:cs="Calibri"/>
                <w:color w:val="000000"/>
              </w:rPr>
              <w:t>-5.1151</w:t>
            </w:r>
          </w:p>
        </w:tc>
        <w:tc>
          <w:tcPr>
            <w:tcW w:w="1260" w:type="dxa"/>
            <w:vAlign w:val="bottom"/>
          </w:tcPr>
          <w:p w14:paraId="2873CFBF" w14:textId="77777777" w:rsidR="00120889" w:rsidRDefault="00120889" w:rsidP="00120889">
            <w:pPr>
              <w:jc w:val="center"/>
              <w:rPr>
                <w:rFonts w:ascii="Calibri" w:hAnsi="Calibri" w:cs="Calibri"/>
                <w:color w:val="000000"/>
              </w:rPr>
            </w:pPr>
            <w:r>
              <w:rPr>
                <w:rFonts w:ascii="Calibri" w:hAnsi="Calibri" w:cs="Calibri"/>
                <w:color w:val="000000"/>
              </w:rPr>
              <w:t>0.0060</w:t>
            </w:r>
          </w:p>
        </w:tc>
        <w:tc>
          <w:tcPr>
            <w:tcW w:w="1260" w:type="dxa"/>
            <w:vAlign w:val="bottom"/>
          </w:tcPr>
          <w:p w14:paraId="7DF5AB66" w14:textId="77777777" w:rsidR="00120889" w:rsidRDefault="00120889" w:rsidP="00120889">
            <w:pPr>
              <w:jc w:val="center"/>
              <w:rPr>
                <w:rFonts w:ascii="Calibri" w:hAnsi="Calibri" w:cs="Calibri"/>
                <w:color w:val="000000"/>
              </w:rPr>
            </w:pPr>
            <w:r>
              <w:rPr>
                <w:rFonts w:ascii="Calibri" w:hAnsi="Calibri" w:cs="Calibri"/>
                <w:color w:val="000000"/>
              </w:rPr>
              <w:t>0.9940</w:t>
            </w:r>
          </w:p>
        </w:tc>
        <w:tc>
          <w:tcPr>
            <w:tcW w:w="1710" w:type="dxa"/>
            <w:vAlign w:val="bottom"/>
          </w:tcPr>
          <w:p w14:paraId="54BD602A" w14:textId="77777777" w:rsidR="00120889" w:rsidRDefault="00120889" w:rsidP="00120889">
            <w:pPr>
              <w:jc w:val="center"/>
              <w:rPr>
                <w:rFonts w:ascii="Calibri" w:hAnsi="Calibri" w:cs="Calibri"/>
                <w:color w:val="000000"/>
              </w:rPr>
            </w:pPr>
            <w:r>
              <w:rPr>
                <w:rFonts w:ascii="Calibri" w:hAnsi="Calibri" w:cs="Calibri"/>
                <w:color w:val="000000"/>
              </w:rPr>
              <w:t>0.9613</w:t>
            </w:r>
          </w:p>
        </w:tc>
        <w:tc>
          <w:tcPr>
            <w:tcW w:w="1548" w:type="dxa"/>
            <w:vAlign w:val="bottom"/>
          </w:tcPr>
          <w:p w14:paraId="001F0BB2" w14:textId="77777777" w:rsidR="00120889" w:rsidRDefault="00120889" w:rsidP="00120889">
            <w:pPr>
              <w:jc w:val="center"/>
              <w:rPr>
                <w:rFonts w:ascii="Calibri" w:hAnsi="Calibri" w:cs="Calibri"/>
                <w:color w:val="000000"/>
              </w:rPr>
            </w:pPr>
            <w:r>
              <w:rPr>
                <w:rFonts w:ascii="Calibri" w:hAnsi="Calibri" w:cs="Calibri"/>
                <w:color w:val="000000"/>
              </w:rPr>
              <w:t>3.867</w:t>
            </w:r>
          </w:p>
        </w:tc>
      </w:tr>
    </w:tbl>
    <w:p w14:paraId="07CE68E3" w14:textId="77777777" w:rsidR="00E87322" w:rsidRDefault="00E87322" w:rsidP="00FF0924">
      <w:pPr>
        <w:spacing w:after="0" w:line="240" w:lineRule="auto"/>
        <w:rPr>
          <w:rFonts w:ascii="Times New Roman" w:hAnsi="Times New Roman" w:cs="Times New Roman"/>
          <w:sz w:val="24"/>
          <w:szCs w:val="24"/>
        </w:rPr>
      </w:pPr>
    </w:p>
    <w:p w14:paraId="149A7D52" w14:textId="77777777" w:rsidR="00702FB6" w:rsidRDefault="00C30EA9"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The probability of surviving the first year would be 99</w:t>
      </w:r>
      <w:r w:rsidR="00611E25">
        <w:rPr>
          <w:rFonts w:ascii="Times New Roman" w:hAnsi="Times New Roman" w:cs="Times New Roman"/>
          <w:sz w:val="24"/>
          <w:szCs w:val="24"/>
        </w:rPr>
        <w:t>.00</w:t>
      </w:r>
      <w:r>
        <w:rPr>
          <w:rFonts w:ascii="Times New Roman" w:hAnsi="Times New Roman" w:cs="Times New Roman"/>
          <w:sz w:val="24"/>
          <w:szCs w:val="24"/>
        </w:rPr>
        <w:t xml:space="preserve"> percent, which would be the proportion of the population entering the second year still at risk of reoffending.</w:t>
      </w:r>
      <w:r w:rsidR="0077533F">
        <w:rPr>
          <w:rFonts w:ascii="Times New Roman" w:hAnsi="Times New Roman" w:cs="Times New Roman"/>
          <w:sz w:val="24"/>
          <w:szCs w:val="24"/>
        </w:rPr>
        <w:t xml:space="preserve">  To account for </w:t>
      </w:r>
      <w:r>
        <w:rPr>
          <w:rFonts w:ascii="Times New Roman" w:hAnsi="Times New Roman" w:cs="Times New Roman"/>
          <w:sz w:val="24"/>
          <w:szCs w:val="24"/>
        </w:rPr>
        <w:t xml:space="preserve">risk reduction </w:t>
      </w:r>
      <w:r w:rsidR="0077533F">
        <w:rPr>
          <w:rFonts w:ascii="Times New Roman" w:hAnsi="Times New Roman" w:cs="Times New Roman"/>
          <w:sz w:val="24"/>
          <w:szCs w:val="24"/>
        </w:rPr>
        <w:t xml:space="preserve">from </w:t>
      </w:r>
      <w:r>
        <w:rPr>
          <w:rFonts w:ascii="Times New Roman" w:hAnsi="Times New Roman" w:cs="Times New Roman"/>
          <w:sz w:val="24"/>
          <w:szCs w:val="24"/>
        </w:rPr>
        <w:t>the first year’s hazard rate</w:t>
      </w:r>
      <w:r w:rsidR="00A728FC">
        <w:rPr>
          <w:rFonts w:ascii="Times New Roman" w:hAnsi="Times New Roman" w:cs="Times New Roman"/>
          <w:sz w:val="24"/>
          <w:szCs w:val="24"/>
        </w:rPr>
        <w:t xml:space="preserve"> – reflecting </w:t>
      </w:r>
      <w:r w:rsidR="0077533F">
        <w:rPr>
          <w:rFonts w:ascii="Times New Roman" w:hAnsi="Times New Roman" w:cs="Times New Roman"/>
          <w:sz w:val="24"/>
          <w:szCs w:val="24"/>
        </w:rPr>
        <w:t xml:space="preserve">one </w:t>
      </w:r>
      <w:r w:rsidR="00A728FC">
        <w:rPr>
          <w:rFonts w:ascii="Times New Roman" w:hAnsi="Times New Roman" w:cs="Times New Roman"/>
          <w:sz w:val="24"/>
          <w:szCs w:val="24"/>
        </w:rPr>
        <w:t xml:space="preserve">year in the community without reoffending sexually – </w:t>
      </w:r>
      <w:r>
        <w:rPr>
          <w:rFonts w:ascii="Times New Roman" w:hAnsi="Times New Roman" w:cs="Times New Roman"/>
          <w:sz w:val="24"/>
          <w:szCs w:val="24"/>
        </w:rPr>
        <w:t xml:space="preserve">.130 </w:t>
      </w:r>
      <w:r w:rsidR="00A728FC">
        <w:rPr>
          <w:rFonts w:ascii="Times New Roman" w:hAnsi="Times New Roman" w:cs="Times New Roman"/>
          <w:sz w:val="24"/>
          <w:szCs w:val="24"/>
        </w:rPr>
        <w:t xml:space="preserve">log units </w:t>
      </w:r>
      <w:r>
        <w:rPr>
          <w:rFonts w:ascii="Times New Roman" w:hAnsi="Times New Roman" w:cs="Times New Roman"/>
          <w:sz w:val="24"/>
          <w:szCs w:val="24"/>
        </w:rPr>
        <w:t xml:space="preserve">is subtracted from the log odds of the </w:t>
      </w:r>
      <w:r w:rsidR="00611E25">
        <w:rPr>
          <w:rFonts w:ascii="Times New Roman" w:hAnsi="Times New Roman" w:cs="Times New Roman"/>
          <w:sz w:val="24"/>
          <w:szCs w:val="24"/>
        </w:rPr>
        <w:t>first year’s hazard rate</w:t>
      </w:r>
      <w:r w:rsidR="00A728FC">
        <w:rPr>
          <w:rFonts w:ascii="Times New Roman" w:hAnsi="Times New Roman" w:cs="Times New Roman"/>
          <w:sz w:val="24"/>
          <w:szCs w:val="24"/>
        </w:rPr>
        <w:t>.  Thus,</w:t>
      </w:r>
      <w:r w:rsidR="00120889">
        <w:rPr>
          <w:rFonts w:ascii="Times New Roman" w:hAnsi="Times New Roman" w:cs="Times New Roman"/>
          <w:sz w:val="24"/>
          <w:szCs w:val="24"/>
        </w:rPr>
        <w:t xml:space="preserve"> {ln[.01/(1-.01)]} = -4.5951</w:t>
      </w:r>
      <w:r w:rsidR="00611E25">
        <w:rPr>
          <w:rFonts w:ascii="Times New Roman" w:hAnsi="Times New Roman" w:cs="Times New Roman"/>
          <w:sz w:val="24"/>
          <w:szCs w:val="24"/>
        </w:rPr>
        <w:t xml:space="preserve">, </w:t>
      </w:r>
      <w:r w:rsidR="00120889">
        <w:rPr>
          <w:rFonts w:ascii="Times New Roman" w:hAnsi="Times New Roman" w:cs="Times New Roman"/>
          <w:sz w:val="24"/>
          <w:szCs w:val="24"/>
        </w:rPr>
        <w:t>minus .130 which equals -</w:t>
      </w:r>
      <w:r w:rsidR="00A728FC">
        <w:rPr>
          <w:rFonts w:ascii="Times New Roman" w:hAnsi="Times New Roman" w:cs="Times New Roman"/>
          <w:sz w:val="24"/>
          <w:szCs w:val="24"/>
        </w:rPr>
        <w:t>4</w:t>
      </w:r>
      <w:r w:rsidR="00120889">
        <w:rPr>
          <w:rFonts w:ascii="Times New Roman" w:hAnsi="Times New Roman" w:cs="Times New Roman"/>
          <w:sz w:val="24"/>
          <w:szCs w:val="24"/>
        </w:rPr>
        <w:t>.7251</w:t>
      </w:r>
      <w:r w:rsidR="00A728FC">
        <w:rPr>
          <w:rFonts w:ascii="Times New Roman" w:hAnsi="Times New Roman" w:cs="Times New Roman"/>
          <w:sz w:val="24"/>
          <w:szCs w:val="24"/>
        </w:rPr>
        <w:t xml:space="preserve"> </w:t>
      </w:r>
      <w:r w:rsidR="00611E25">
        <w:rPr>
          <w:rFonts w:ascii="Times New Roman" w:hAnsi="Times New Roman" w:cs="Times New Roman"/>
          <w:sz w:val="24"/>
          <w:szCs w:val="24"/>
        </w:rPr>
        <w:t xml:space="preserve">for a </w:t>
      </w:r>
      <w:proofErr w:type="spellStart"/>
      <w:r w:rsidR="00611E25">
        <w:rPr>
          <w:rFonts w:ascii="Times New Roman" w:hAnsi="Times New Roman" w:cs="Times New Roman"/>
          <w:sz w:val="24"/>
          <w:szCs w:val="24"/>
        </w:rPr>
        <w:t>log</w:t>
      </w:r>
      <w:proofErr w:type="spellEnd"/>
      <w:r w:rsidR="00611E25">
        <w:rPr>
          <w:rFonts w:ascii="Times New Roman" w:hAnsi="Times New Roman" w:cs="Times New Roman"/>
          <w:sz w:val="24"/>
          <w:szCs w:val="24"/>
        </w:rPr>
        <w:t xml:space="preserve"> odds of the second year’s hazard rate</w:t>
      </w:r>
      <w:r w:rsidR="00A728FC">
        <w:rPr>
          <w:rFonts w:ascii="Times New Roman" w:hAnsi="Times New Roman" w:cs="Times New Roman"/>
          <w:sz w:val="24"/>
          <w:szCs w:val="24"/>
        </w:rPr>
        <w:t>.</w:t>
      </w:r>
      <w:r w:rsidR="00611E25">
        <w:rPr>
          <w:rFonts w:ascii="Times New Roman" w:hAnsi="Times New Roman" w:cs="Times New Roman"/>
          <w:sz w:val="24"/>
          <w:szCs w:val="24"/>
        </w:rPr>
        <w:t xml:space="preserve">  This converts to a hazard rate of 0.88 percent of individuals entering the second year expected to recidivate during that year.</w:t>
      </w:r>
      <w:r w:rsidR="0077533F">
        <w:rPr>
          <w:rFonts w:ascii="Times New Roman" w:hAnsi="Times New Roman" w:cs="Times New Roman"/>
          <w:sz w:val="24"/>
          <w:szCs w:val="24"/>
        </w:rPr>
        <w:t xml:space="preserve">  Thus, 99.12% of the 99.00% of the </w:t>
      </w:r>
      <w:r w:rsidR="0077533F">
        <w:rPr>
          <w:rFonts w:ascii="Times New Roman" w:hAnsi="Times New Roman" w:cs="Times New Roman"/>
          <w:sz w:val="24"/>
          <w:szCs w:val="24"/>
        </w:rPr>
        <w:lastRenderedPageBreak/>
        <w:t>population entering the second year (.9912*.9900 = .9813, or 98.13%) would be expected to survive to the start of year 3</w:t>
      </w:r>
      <w:r w:rsidR="00120889">
        <w:rPr>
          <w:rFonts w:ascii="Times New Roman" w:hAnsi="Times New Roman" w:cs="Times New Roman"/>
          <w:sz w:val="24"/>
          <w:szCs w:val="24"/>
        </w:rPr>
        <w:t>.  A</w:t>
      </w:r>
      <w:r w:rsidR="0077533F">
        <w:rPr>
          <w:rFonts w:ascii="Times New Roman" w:hAnsi="Times New Roman" w:cs="Times New Roman"/>
          <w:sz w:val="24"/>
          <w:szCs w:val="24"/>
        </w:rPr>
        <w:t xml:space="preserve"> new hazard rate reflecting two years free in the community without sexually reoffending</w:t>
      </w:r>
      <w:r w:rsidR="00120889">
        <w:rPr>
          <w:rFonts w:ascii="Times New Roman" w:hAnsi="Times New Roman" w:cs="Times New Roman"/>
          <w:sz w:val="24"/>
          <w:szCs w:val="24"/>
        </w:rPr>
        <w:t xml:space="preserve"> (an additional reduction of 0.130 log units from the second year’s hazard rate)</w:t>
      </w:r>
      <w:r w:rsidR="0077533F">
        <w:rPr>
          <w:rFonts w:ascii="Times New Roman" w:hAnsi="Times New Roman" w:cs="Times New Roman"/>
          <w:sz w:val="24"/>
          <w:szCs w:val="24"/>
        </w:rPr>
        <w:t xml:space="preserve"> would</w:t>
      </w:r>
      <w:r w:rsidR="00120889">
        <w:rPr>
          <w:rFonts w:ascii="Times New Roman" w:hAnsi="Times New Roman" w:cs="Times New Roman"/>
          <w:sz w:val="24"/>
          <w:szCs w:val="24"/>
        </w:rPr>
        <w:t xml:space="preserve"> then be calculated and applied.  This process would continue through year 20 to estimate the lifetime risk for recidivating sexually (the table above i</w:t>
      </w:r>
      <w:r w:rsidR="00ED7BCF">
        <w:rPr>
          <w:rFonts w:ascii="Times New Roman" w:hAnsi="Times New Roman" w:cs="Times New Roman"/>
          <w:sz w:val="24"/>
          <w:szCs w:val="24"/>
        </w:rPr>
        <w:t>s truncated to 5 years.</w:t>
      </w:r>
    </w:p>
    <w:p w14:paraId="05C676C1" w14:textId="77777777" w:rsidR="00A728FC" w:rsidRDefault="00A728FC" w:rsidP="00FF0924">
      <w:pPr>
        <w:spacing w:after="0" w:line="240" w:lineRule="auto"/>
        <w:rPr>
          <w:rFonts w:ascii="Times New Roman" w:hAnsi="Times New Roman" w:cs="Times New Roman"/>
          <w:sz w:val="24"/>
          <w:szCs w:val="24"/>
        </w:rPr>
      </w:pPr>
    </w:p>
    <w:p w14:paraId="29C673ED" w14:textId="77777777" w:rsidR="00C30EA9" w:rsidRDefault="00A728FC"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Now, c</w:t>
      </w:r>
      <w:r w:rsidR="00702FB6">
        <w:rPr>
          <w:rFonts w:ascii="Times New Roman" w:hAnsi="Times New Roman" w:cs="Times New Roman"/>
          <w:sz w:val="24"/>
          <w:szCs w:val="24"/>
        </w:rPr>
        <w:t>onsider the individual with a Static-99R score of 5</w:t>
      </w:r>
      <w:r>
        <w:rPr>
          <w:rFonts w:ascii="Times New Roman" w:hAnsi="Times New Roman" w:cs="Times New Roman"/>
          <w:sz w:val="24"/>
          <w:szCs w:val="24"/>
        </w:rPr>
        <w:t>,</w:t>
      </w:r>
      <w:r w:rsidR="00702FB6">
        <w:rPr>
          <w:rFonts w:ascii="Times New Roman" w:hAnsi="Times New Roman" w:cs="Times New Roman"/>
          <w:sz w:val="24"/>
          <w:szCs w:val="24"/>
        </w:rPr>
        <w:t xml:space="preserve"> referenced to the Routine sample norms</w:t>
      </w:r>
      <w:r>
        <w:rPr>
          <w:rFonts w:ascii="Times New Roman" w:hAnsi="Times New Roman" w:cs="Times New Roman"/>
          <w:sz w:val="24"/>
          <w:szCs w:val="24"/>
        </w:rPr>
        <w:t>,</w:t>
      </w:r>
      <w:r w:rsidR="00702FB6">
        <w:rPr>
          <w:rFonts w:ascii="Times New Roman" w:hAnsi="Times New Roman" w:cs="Times New Roman"/>
          <w:sz w:val="24"/>
          <w:szCs w:val="24"/>
        </w:rPr>
        <w:t xml:space="preserve"> with a predicted recidivism risk of 15.2 percent at 5 years.  </w:t>
      </w:r>
      <w:r w:rsidR="00F250F4">
        <w:rPr>
          <w:rFonts w:ascii="Times New Roman" w:hAnsi="Times New Roman" w:cs="Times New Roman"/>
          <w:sz w:val="24"/>
          <w:szCs w:val="24"/>
        </w:rPr>
        <w:t>The table above with a</w:t>
      </w:r>
      <w:r w:rsidR="00702FB6">
        <w:rPr>
          <w:rFonts w:ascii="Times New Roman" w:hAnsi="Times New Roman" w:cs="Times New Roman"/>
          <w:sz w:val="24"/>
          <w:szCs w:val="24"/>
        </w:rPr>
        <w:t xml:space="preserve">n initial hazard of .0100 produces a 5-year </w:t>
      </w:r>
      <w:r w:rsidR="00F250F4">
        <w:rPr>
          <w:rFonts w:ascii="Times New Roman" w:hAnsi="Times New Roman" w:cs="Times New Roman"/>
          <w:sz w:val="24"/>
          <w:szCs w:val="24"/>
        </w:rPr>
        <w:t>e</w:t>
      </w:r>
      <w:r w:rsidR="00120889">
        <w:rPr>
          <w:rFonts w:ascii="Times New Roman" w:hAnsi="Times New Roman" w:cs="Times New Roman"/>
          <w:sz w:val="24"/>
          <w:szCs w:val="24"/>
        </w:rPr>
        <w:t>xpected recidivism rate of 3.867</w:t>
      </w:r>
      <w:r w:rsidR="00F250F4">
        <w:rPr>
          <w:rFonts w:ascii="Times New Roman" w:hAnsi="Times New Roman" w:cs="Times New Roman"/>
          <w:sz w:val="24"/>
          <w:szCs w:val="24"/>
        </w:rPr>
        <w:t xml:space="preserve"> percent.  Comparing this value to an expected recidivism rate of 15.2 percent in cells H2 to H21 of the “</w:t>
      </w:r>
      <w:proofErr w:type="spellStart"/>
      <w:r w:rsidR="00F250F4">
        <w:rPr>
          <w:rFonts w:ascii="Times New Roman" w:hAnsi="Times New Roman" w:cs="Times New Roman"/>
          <w:sz w:val="24"/>
          <w:szCs w:val="24"/>
        </w:rPr>
        <w:t>GHR_RecidRates</w:t>
      </w:r>
      <w:proofErr w:type="spellEnd"/>
      <w:r w:rsidR="00F250F4">
        <w:rPr>
          <w:rFonts w:ascii="Times New Roman" w:hAnsi="Times New Roman" w:cs="Times New Roman"/>
          <w:sz w:val="24"/>
          <w:szCs w:val="24"/>
        </w:rPr>
        <w:t>” tab/worksheet</w:t>
      </w:r>
      <w:r w:rsidR="007C44EE">
        <w:rPr>
          <w:rFonts w:ascii="Times New Roman" w:hAnsi="Times New Roman" w:cs="Times New Roman"/>
          <w:sz w:val="24"/>
          <w:szCs w:val="24"/>
        </w:rPr>
        <w:t xml:space="preserve"> </w:t>
      </w:r>
      <w:r w:rsidR="00ED7BCF">
        <w:rPr>
          <w:rFonts w:ascii="Times New Roman" w:hAnsi="Times New Roman" w:cs="Times New Roman"/>
          <w:sz w:val="24"/>
          <w:szCs w:val="24"/>
        </w:rPr>
        <w:t>produces an</w:t>
      </w:r>
      <w:r>
        <w:rPr>
          <w:rFonts w:ascii="Times New Roman" w:hAnsi="Times New Roman" w:cs="Times New Roman"/>
          <w:sz w:val="24"/>
          <w:szCs w:val="24"/>
        </w:rPr>
        <w:t xml:space="preserve"> underestimation of </w:t>
      </w:r>
      <w:r w:rsidR="00F250F4">
        <w:rPr>
          <w:rFonts w:ascii="Times New Roman" w:hAnsi="Times New Roman" w:cs="Times New Roman"/>
          <w:sz w:val="24"/>
          <w:szCs w:val="24"/>
        </w:rPr>
        <w:t>1</w:t>
      </w:r>
      <w:r>
        <w:rPr>
          <w:rFonts w:ascii="Times New Roman" w:hAnsi="Times New Roman" w:cs="Times New Roman"/>
          <w:sz w:val="24"/>
          <w:szCs w:val="24"/>
        </w:rPr>
        <w:t>1</w:t>
      </w:r>
      <w:r w:rsidR="00F250F4">
        <w:rPr>
          <w:rFonts w:ascii="Times New Roman" w:hAnsi="Times New Roman" w:cs="Times New Roman"/>
          <w:sz w:val="24"/>
          <w:szCs w:val="24"/>
        </w:rPr>
        <w:t>.3 percent</w:t>
      </w:r>
      <w:r w:rsidR="007C44EE">
        <w:rPr>
          <w:rFonts w:ascii="Times New Roman" w:hAnsi="Times New Roman" w:cs="Times New Roman"/>
          <w:sz w:val="24"/>
          <w:szCs w:val="24"/>
        </w:rPr>
        <w:t xml:space="preserve"> (calculated in column I of the “</w:t>
      </w:r>
      <w:proofErr w:type="spellStart"/>
      <w:r w:rsidR="007C44EE">
        <w:rPr>
          <w:rFonts w:ascii="Times New Roman" w:hAnsi="Times New Roman" w:cs="Times New Roman"/>
          <w:sz w:val="24"/>
          <w:szCs w:val="24"/>
        </w:rPr>
        <w:t>GHR_RecidRates</w:t>
      </w:r>
      <w:proofErr w:type="spellEnd"/>
      <w:r w:rsidR="007C44EE">
        <w:rPr>
          <w:rFonts w:ascii="Times New Roman" w:hAnsi="Times New Roman" w:cs="Times New Roman"/>
          <w:sz w:val="24"/>
          <w:szCs w:val="24"/>
        </w:rPr>
        <w:t>” tab/worksheet at the row corresponding to the follow-up year at which the modelle</w:t>
      </w:r>
      <w:r w:rsidR="00ED7BCF">
        <w:rPr>
          <w:rFonts w:ascii="Times New Roman" w:hAnsi="Times New Roman" w:cs="Times New Roman"/>
          <w:sz w:val="24"/>
          <w:szCs w:val="24"/>
        </w:rPr>
        <w:t>d recidivism rate i</w:t>
      </w:r>
      <w:r w:rsidR="007C44EE">
        <w:rPr>
          <w:rFonts w:ascii="Times New Roman" w:hAnsi="Times New Roman" w:cs="Times New Roman"/>
          <w:sz w:val="24"/>
          <w:szCs w:val="24"/>
        </w:rPr>
        <w:t xml:space="preserve">s expected).  This error is </w:t>
      </w:r>
      <w:r w:rsidR="005B12F5">
        <w:rPr>
          <w:rFonts w:ascii="Times New Roman" w:hAnsi="Times New Roman" w:cs="Times New Roman"/>
          <w:sz w:val="24"/>
          <w:szCs w:val="24"/>
        </w:rPr>
        <w:t xml:space="preserve">used by </w:t>
      </w:r>
      <w:r w:rsidR="0029440B">
        <w:rPr>
          <w:rFonts w:ascii="Times New Roman" w:hAnsi="Times New Roman" w:cs="Times New Roman"/>
          <w:sz w:val="24"/>
          <w:szCs w:val="24"/>
        </w:rPr>
        <w:t>the “</w:t>
      </w:r>
      <w:proofErr w:type="spellStart"/>
      <w:r w:rsidR="0029440B">
        <w:rPr>
          <w:rFonts w:ascii="Times New Roman" w:hAnsi="Times New Roman" w:cs="Times New Roman"/>
          <w:sz w:val="24"/>
          <w:szCs w:val="24"/>
        </w:rPr>
        <w:t>Get_HR</w:t>
      </w:r>
      <w:proofErr w:type="spellEnd"/>
      <w:r w:rsidR="0029440B">
        <w:rPr>
          <w:rFonts w:ascii="Times New Roman" w:hAnsi="Times New Roman" w:cs="Times New Roman"/>
          <w:sz w:val="24"/>
          <w:szCs w:val="24"/>
        </w:rPr>
        <w:t>” tab/worksheet</w:t>
      </w:r>
      <w:r w:rsidR="00875DD3">
        <w:rPr>
          <w:rFonts w:ascii="Times New Roman" w:hAnsi="Times New Roman" w:cs="Times New Roman"/>
          <w:sz w:val="24"/>
          <w:szCs w:val="24"/>
        </w:rPr>
        <w:t xml:space="preserve">.  If the error </w:t>
      </w:r>
      <w:r w:rsidR="0029440B">
        <w:rPr>
          <w:rFonts w:ascii="Times New Roman" w:hAnsi="Times New Roman" w:cs="Times New Roman"/>
          <w:sz w:val="24"/>
          <w:szCs w:val="24"/>
        </w:rPr>
        <w:t xml:space="preserve">exceeds </w:t>
      </w:r>
      <w:r w:rsidR="00C371B6">
        <w:rPr>
          <w:rFonts w:ascii="Times New Roman" w:hAnsi="Times New Roman" w:cs="Times New Roman"/>
          <w:sz w:val="24"/>
          <w:szCs w:val="24"/>
        </w:rPr>
        <w:t xml:space="preserve">a set error </w:t>
      </w:r>
      <w:r w:rsidR="0029440B">
        <w:rPr>
          <w:rFonts w:ascii="Times New Roman" w:hAnsi="Times New Roman" w:cs="Times New Roman"/>
          <w:sz w:val="24"/>
          <w:szCs w:val="24"/>
        </w:rPr>
        <w:t>tolerance (</w:t>
      </w:r>
      <w:r w:rsidR="00C371B6">
        <w:rPr>
          <w:rFonts w:ascii="Times New Roman" w:hAnsi="Times New Roman" w:cs="Times New Roman"/>
          <w:sz w:val="24"/>
          <w:szCs w:val="24"/>
        </w:rPr>
        <w:t xml:space="preserve">± </w:t>
      </w:r>
      <w:r w:rsidR="0029440B">
        <w:rPr>
          <w:rFonts w:ascii="Times New Roman" w:hAnsi="Times New Roman" w:cs="Times New Roman"/>
          <w:sz w:val="24"/>
          <w:szCs w:val="24"/>
        </w:rPr>
        <w:t>0.1%)</w:t>
      </w:r>
      <w:r w:rsidR="00875DD3">
        <w:rPr>
          <w:rFonts w:ascii="Times New Roman" w:hAnsi="Times New Roman" w:cs="Times New Roman"/>
          <w:sz w:val="24"/>
          <w:szCs w:val="24"/>
        </w:rPr>
        <w:t xml:space="preserve">, the initial </w:t>
      </w:r>
      <w:r w:rsidR="00C371B6">
        <w:rPr>
          <w:rFonts w:ascii="Times New Roman" w:hAnsi="Times New Roman" w:cs="Times New Roman"/>
          <w:sz w:val="24"/>
          <w:szCs w:val="24"/>
        </w:rPr>
        <w:t xml:space="preserve">year </w:t>
      </w:r>
      <w:r w:rsidR="00875DD3">
        <w:rPr>
          <w:rFonts w:ascii="Times New Roman" w:hAnsi="Times New Roman" w:cs="Times New Roman"/>
          <w:sz w:val="24"/>
          <w:szCs w:val="24"/>
        </w:rPr>
        <w:t>hazard rate i</w:t>
      </w:r>
      <w:r w:rsidR="00C371B6">
        <w:rPr>
          <w:rFonts w:ascii="Times New Roman" w:hAnsi="Times New Roman" w:cs="Times New Roman"/>
          <w:sz w:val="24"/>
          <w:szCs w:val="24"/>
        </w:rPr>
        <w:t xml:space="preserve">s reiteratively incremented or decremented until the cumulative recidivism rate produced by the survival model </w:t>
      </w:r>
      <w:r w:rsidR="005B12F5">
        <w:rPr>
          <w:rFonts w:ascii="Times New Roman" w:hAnsi="Times New Roman" w:cs="Times New Roman"/>
          <w:sz w:val="24"/>
          <w:szCs w:val="24"/>
        </w:rPr>
        <w:t>in the “</w:t>
      </w:r>
      <w:proofErr w:type="spellStart"/>
      <w:r w:rsidR="005B12F5">
        <w:rPr>
          <w:rFonts w:ascii="Times New Roman" w:hAnsi="Times New Roman" w:cs="Times New Roman"/>
          <w:sz w:val="24"/>
          <w:szCs w:val="24"/>
        </w:rPr>
        <w:t>GHR_RecidRates</w:t>
      </w:r>
      <w:proofErr w:type="spellEnd"/>
      <w:r w:rsidR="005B12F5">
        <w:rPr>
          <w:rFonts w:ascii="Times New Roman" w:hAnsi="Times New Roman" w:cs="Times New Roman"/>
          <w:sz w:val="24"/>
          <w:szCs w:val="24"/>
        </w:rPr>
        <w:t xml:space="preserve">” tab/worksheet </w:t>
      </w:r>
      <w:r w:rsidR="00C371B6">
        <w:rPr>
          <w:rFonts w:ascii="Times New Roman" w:hAnsi="Times New Roman" w:cs="Times New Roman"/>
          <w:sz w:val="24"/>
          <w:szCs w:val="24"/>
        </w:rPr>
        <w:t xml:space="preserve">at the follow-up year specified is within the </w:t>
      </w:r>
      <w:r w:rsidR="005B12F5">
        <w:rPr>
          <w:rFonts w:ascii="Times New Roman" w:hAnsi="Times New Roman" w:cs="Times New Roman"/>
          <w:sz w:val="24"/>
          <w:szCs w:val="24"/>
        </w:rPr>
        <w:t>allowable error tolerance</w:t>
      </w:r>
      <w:r w:rsidR="00C371B6">
        <w:rPr>
          <w:rFonts w:ascii="Times New Roman" w:hAnsi="Times New Roman" w:cs="Times New Roman"/>
          <w:sz w:val="24"/>
          <w:szCs w:val="24"/>
        </w:rPr>
        <w:t xml:space="preserve">. </w:t>
      </w:r>
    </w:p>
    <w:p w14:paraId="3D5A0C36" w14:textId="77777777" w:rsidR="00E35270" w:rsidRDefault="00E35270" w:rsidP="00FF0924">
      <w:pPr>
        <w:spacing w:after="0" w:line="240" w:lineRule="auto"/>
        <w:rPr>
          <w:rFonts w:ascii="Times New Roman" w:hAnsi="Times New Roman" w:cs="Times New Roman"/>
          <w:sz w:val="24"/>
          <w:szCs w:val="24"/>
        </w:rPr>
      </w:pPr>
    </w:p>
    <w:p w14:paraId="42934789" w14:textId="6B38CA5E" w:rsidR="00E35270" w:rsidRPr="00895918" w:rsidRDefault="00E35270" w:rsidP="00FF0924">
      <w:pPr>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Starting with an initial year hazard rate of .0100, entering </w:t>
      </w:r>
      <w:r w:rsidR="00BE219B">
        <w:rPr>
          <w:rFonts w:ascii="Times New Roman" w:hAnsi="Times New Roman" w:cs="Times New Roman"/>
          <w:sz w:val="24"/>
          <w:szCs w:val="24"/>
        </w:rPr>
        <w:t>an expected</w:t>
      </w:r>
      <w:r>
        <w:rPr>
          <w:rFonts w:ascii="Times New Roman" w:hAnsi="Times New Roman" w:cs="Times New Roman"/>
          <w:sz w:val="24"/>
          <w:szCs w:val="24"/>
        </w:rPr>
        <w:t xml:space="preserve"> 5-year recidivism </w:t>
      </w:r>
      <w:r w:rsidR="00BE219B">
        <w:rPr>
          <w:rFonts w:ascii="Times New Roman" w:hAnsi="Times New Roman" w:cs="Times New Roman"/>
          <w:sz w:val="24"/>
          <w:szCs w:val="24"/>
        </w:rPr>
        <w:t xml:space="preserve">rate </w:t>
      </w:r>
      <w:r>
        <w:rPr>
          <w:rFonts w:ascii="Times New Roman" w:hAnsi="Times New Roman" w:cs="Times New Roman"/>
          <w:sz w:val="24"/>
          <w:szCs w:val="24"/>
        </w:rPr>
        <w:t>of 15.2 percent in</w:t>
      </w:r>
      <w:r w:rsidR="00BE219B">
        <w:rPr>
          <w:rFonts w:ascii="Times New Roman" w:hAnsi="Times New Roman" w:cs="Times New Roman"/>
          <w:sz w:val="24"/>
          <w:szCs w:val="24"/>
        </w:rPr>
        <w:t xml:space="preserve">to the calculator results in a first year hazard rate of </w:t>
      </w:r>
      <w:r w:rsidR="005B12F5">
        <w:rPr>
          <w:rFonts w:ascii="Times New Roman" w:hAnsi="Times New Roman" w:cs="Times New Roman"/>
          <w:sz w:val="24"/>
          <w:szCs w:val="24"/>
        </w:rPr>
        <w:t>~.0410</w:t>
      </w:r>
      <w:r w:rsidR="00BE219B">
        <w:rPr>
          <w:rFonts w:ascii="Times New Roman" w:hAnsi="Times New Roman" w:cs="Times New Roman"/>
          <w:sz w:val="24"/>
          <w:szCs w:val="24"/>
        </w:rPr>
        <w:t xml:space="preserve"> and a 5-ye</w:t>
      </w:r>
      <w:r w:rsidR="005B12F5">
        <w:rPr>
          <w:rFonts w:ascii="Times New Roman" w:hAnsi="Times New Roman" w:cs="Times New Roman"/>
          <w:sz w:val="24"/>
          <w:szCs w:val="24"/>
        </w:rPr>
        <w:t>ar expected recidivism of 15.185</w:t>
      </w:r>
      <w:r w:rsidR="00BE219B">
        <w:rPr>
          <w:rFonts w:ascii="Times New Roman" w:hAnsi="Times New Roman" w:cs="Times New Roman"/>
          <w:sz w:val="24"/>
          <w:szCs w:val="24"/>
        </w:rPr>
        <w:t xml:space="preserve"> percent (see table below)</w:t>
      </w:r>
      <w:r>
        <w:rPr>
          <w:rFonts w:ascii="Times New Roman" w:hAnsi="Times New Roman" w:cs="Times New Roman"/>
          <w:sz w:val="24"/>
          <w:szCs w:val="24"/>
        </w:rPr>
        <w:t>.</w:t>
      </w:r>
      <w:r w:rsidR="001D542C">
        <w:rPr>
          <w:rFonts w:ascii="Times New Roman" w:hAnsi="Times New Roman" w:cs="Times New Roman"/>
          <w:sz w:val="24"/>
          <w:szCs w:val="24"/>
        </w:rPr>
        <w:t xml:space="preserve">  </w:t>
      </w:r>
      <w:r w:rsidR="001D542C">
        <w:rPr>
          <w:rFonts w:ascii="Times New Roman" w:hAnsi="Times New Roman" w:cs="Times New Roman"/>
          <w:i/>
          <w:sz w:val="24"/>
          <w:szCs w:val="24"/>
        </w:rPr>
        <w:t>Note: The computational process of reiteratively incrementing and decrementing the initial hazard rates</w:t>
      </w:r>
      <w:r w:rsidR="00F558B7">
        <w:rPr>
          <w:rFonts w:ascii="Times New Roman" w:hAnsi="Times New Roman" w:cs="Times New Roman"/>
          <w:i/>
          <w:sz w:val="24"/>
          <w:szCs w:val="24"/>
        </w:rPr>
        <w:t xml:space="preserve"> may</w:t>
      </w:r>
      <w:r w:rsidR="001D542C">
        <w:rPr>
          <w:rFonts w:ascii="Times New Roman" w:hAnsi="Times New Roman" w:cs="Times New Roman"/>
          <w:i/>
          <w:sz w:val="24"/>
          <w:szCs w:val="24"/>
        </w:rPr>
        <w:t xml:space="preserve"> produces minor variability </w:t>
      </w:r>
      <w:r w:rsidR="00895918">
        <w:rPr>
          <w:rFonts w:ascii="Times New Roman" w:hAnsi="Times New Roman" w:cs="Times New Roman"/>
          <w:i/>
          <w:sz w:val="24"/>
          <w:szCs w:val="24"/>
        </w:rPr>
        <w:t xml:space="preserve">of </w:t>
      </w:r>
      <w:r w:rsidR="00F558B7">
        <w:rPr>
          <w:rFonts w:ascii="Times New Roman" w:hAnsi="Times New Roman" w:cs="Times New Roman"/>
          <w:i/>
          <w:sz w:val="24"/>
          <w:szCs w:val="24"/>
        </w:rPr>
        <w:t xml:space="preserve">0.1% </w:t>
      </w:r>
      <w:r w:rsidR="001D542C">
        <w:rPr>
          <w:rFonts w:ascii="Times New Roman" w:hAnsi="Times New Roman" w:cs="Times New Roman"/>
          <w:i/>
          <w:sz w:val="24"/>
          <w:szCs w:val="24"/>
        </w:rPr>
        <w:t>due to the error tolerance</w:t>
      </w:r>
      <w:r w:rsidR="00001AEE">
        <w:rPr>
          <w:rFonts w:ascii="Times New Roman" w:hAnsi="Times New Roman" w:cs="Times New Roman"/>
          <w:i/>
          <w:sz w:val="24"/>
          <w:szCs w:val="24"/>
        </w:rPr>
        <w:t xml:space="preserve"> allowed in fitting the survival model to specified recidivism rates at identified follow-up years</w:t>
      </w:r>
      <w:r w:rsidR="00F558B7">
        <w:rPr>
          <w:rFonts w:ascii="Times New Roman" w:hAnsi="Times New Roman" w:cs="Times New Roman"/>
          <w:i/>
          <w:sz w:val="24"/>
          <w:szCs w:val="24"/>
        </w:rPr>
        <w:t xml:space="preserve"> (e.g., 13.25001 rounds to 13.3 whereas 13.24999 rounds to 13.2). Should evaluators want a single estimate, run the calculator several times and take the median (or mode)</w:t>
      </w:r>
      <w:r w:rsidR="00001AEE">
        <w:rPr>
          <w:rFonts w:ascii="Times New Roman" w:hAnsi="Times New Roman" w:cs="Times New Roman"/>
          <w:i/>
          <w:sz w:val="24"/>
          <w:szCs w:val="24"/>
        </w:rPr>
        <w:t xml:space="preserve">. </w:t>
      </w:r>
    </w:p>
    <w:p w14:paraId="272C3D65" w14:textId="77777777" w:rsidR="00E35270" w:rsidRDefault="00E35270" w:rsidP="00FF0924">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14"/>
        <w:gridCol w:w="1062"/>
        <w:gridCol w:w="1312"/>
        <w:gridCol w:w="1230"/>
        <w:gridCol w:w="1242"/>
        <w:gridCol w:w="1673"/>
        <w:gridCol w:w="1517"/>
      </w:tblGrid>
      <w:tr w:rsidR="00E35270" w14:paraId="0DFB8540" w14:textId="77777777" w:rsidTr="00E35270">
        <w:tc>
          <w:tcPr>
            <w:tcW w:w="1368" w:type="dxa"/>
            <w:vAlign w:val="center"/>
          </w:tcPr>
          <w:p w14:paraId="673C115F" w14:textId="77777777" w:rsidR="00E35270" w:rsidRDefault="00E35270" w:rsidP="00E35270">
            <w:pPr>
              <w:jc w:val="right"/>
              <w:rPr>
                <w:rFonts w:ascii="Calibri" w:hAnsi="Calibri" w:cs="Calibri"/>
                <w:color w:val="000000"/>
              </w:rPr>
            </w:pPr>
            <w:r>
              <w:rPr>
                <w:rFonts w:ascii="Calibri" w:hAnsi="Calibri" w:cs="Calibri"/>
                <w:color w:val="000000"/>
              </w:rPr>
              <w:t>Year</w:t>
            </w:r>
          </w:p>
        </w:tc>
        <w:tc>
          <w:tcPr>
            <w:tcW w:w="1080" w:type="dxa"/>
            <w:vAlign w:val="center"/>
          </w:tcPr>
          <w:p w14:paraId="067366DF" w14:textId="77777777" w:rsidR="00E35270" w:rsidRDefault="00E35270" w:rsidP="00E35270">
            <w:pPr>
              <w:jc w:val="right"/>
              <w:rPr>
                <w:rFonts w:ascii="Calibri" w:hAnsi="Calibri" w:cs="Calibri"/>
                <w:color w:val="000000"/>
              </w:rPr>
            </w:pPr>
            <w:r>
              <w:rPr>
                <w:rFonts w:ascii="Calibri" w:hAnsi="Calibri" w:cs="Calibri"/>
                <w:color w:val="000000"/>
              </w:rPr>
              <w:t>p at risk</w:t>
            </w:r>
          </w:p>
        </w:tc>
        <w:tc>
          <w:tcPr>
            <w:tcW w:w="1350" w:type="dxa"/>
            <w:vAlign w:val="center"/>
          </w:tcPr>
          <w:p w14:paraId="143E2812" w14:textId="77777777" w:rsidR="00E35270" w:rsidRDefault="00E35270" w:rsidP="00E35270">
            <w:pPr>
              <w:jc w:val="right"/>
              <w:rPr>
                <w:rFonts w:ascii="Calibri" w:hAnsi="Calibri" w:cs="Calibri"/>
                <w:color w:val="000000"/>
              </w:rPr>
            </w:pPr>
            <w:r>
              <w:rPr>
                <w:rFonts w:ascii="Calibri" w:hAnsi="Calibri" w:cs="Calibri"/>
                <w:color w:val="000000"/>
              </w:rPr>
              <w:t>logit hazard</w:t>
            </w:r>
          </w:p>
        </w:tc>
        <w:tc>
          <w:tcPr>
            <w:tcW w:w="1260" w:type="dxa"/>
            <w:vAlign w:val="center"/>
          </w:tcPr>
          <w:p w14:paraId="2F93F0B7" w14:textId="77777777" w:rsidR="00E35270" w:rsidRDefault="00E35270" w:rsidP="00E35270">
            <w:pPr>
              <w:jc w:val="right"/>
              <w:rPr>
                <w:rFonts w:ascii="Calibri" w:hAnsi="Calibri" w:cs="Calibri"/>
                <w:color w:val="000000"/>
              </w:rPr>
            </w:pPr>
            <w:r>
              <w:rPr>
                <w:rFonts w:ascii="Calibri" w:hAnsi="Calibri" w:cs="Calibri"/>
                <w:color w:val="000000"/>
              </w:rPr>
              <w:t>Hazard rate</w:t>
            </w:r>
          </w:p>
        </w:tc>
        <w:tc>
          <w:tcPr>
            <w:tcW w:w="1260" w:type="dxa"/>
            <w:vAlign w:val="center"/>
          </w:tcPr>
          <w:p w14:paraId="59865C78" w14:textId="77777777" w:rsidR="00E35270" w:rsidRDefault="00E35270" w:rsidP="00E35270">
            <w:pPr>
              <w:jc w:val="right"/>
              <w:rPr>
                <w:rFonts w:ascii="Calibri" w:hAnsi="Calibri" w:cs="Calibri"/>
                <w:color w:val="000000"/>
              </w:rPr>
            </w:pPr>
            <w:r>
              <w:rPr>
                <w:rFonts w:ascii="Calibri" w:hAnsi="Calibri" w:cs="Calibri"/>
                <w:color w:val="000000"/>
              </w:rPr>
              <w:t>p surviving</w:t>
            </w:r>
          </w:p>
        </w:tc>
        <w:tc>
          <w:tcPr>
            <w:tcW w:w="1710" w:type="dxa"/>
            <w:vAlign w:val="center"/>
          </w:tcPr>
          <w:p w14:paraId="12964615" w14:textId="77777777" w:rsidR="00E35270" w:rsidRDefault="00E35270" w:rsidP="00E35270">
            <w:pPr>
              <w:jc w:val="right"/>
              <w:rPr>
                <w:rFonts w:ascii="Calibri" w:hAnsi="Calibri" w:cs="Calibri"/>
                <w:color w:val="000000"/>
              </w:rPr>
            </w:pPr>
            <w:r>
              <w:rPr>
                <w:rFonts w:ascii="Calibri" w:hAnsi="Calibri" w:cs="Calibri"/>
                <w:color w:val="000000"/>
              </w:rPr>
              <w:t xml:space="preserve">cumulative </w:t>
            </w:r>
            <w:proofErr w:type="spellStart"/>
            <w:r>
              <w:rPr>
                <w:rFonts w:ascii="Calibri" w:hAnsi="Calibri" w:cs="Calibri"/>
                <w:color w:val="000000"/>
              </w:rPr>
              <w:t>surv</w:t>
            </w:r>
            <w:proofErr w:type="spellEnd"/>
          </w:p>
        </w:tc>
        <w:tc>
          <w:tcPr>
            <w:tcW w:w="1548" w:type="dxa"/>
            <w:vAlign w:val="center"/>
          </w:tcPr>
          <w:p w14:paraId="2A0B48FB" w14:textId="77777777" w:rsidR="00E35270" w:rsidRDefault="00E35270" w:rsidP="00E35270">
            <w:pPr>
              <w:jc w:val="right"/>
              <w:rPr>
                <w:rFonts w:ascii="Calibri" w:hAnsi="Calibri" w:cs="Calibri"/>
                <w:color w:val="000000"/>
              </w:rPr>
            </w:pPr>
            <w:r>
              <w:rPr>
                <w:rFonts w:ascii="Calibri" w:hAnsi="Calibri" w:cs="Calibri"/>
                <w:color w:val="000000"/>
              </w:rPr>
              <w:t>recidivism rate</w:t>
            </w:r>
          </w:p>
        </w:tc>
      </w:tr>
      <w:tr w:rsidR="00E35270" w14:paraId="4DB80CBF" w14:textId="77777777" w:rsidTr="00E35270">
        <w:tc>
          <w:tcPr>
            <w:tcW w:w="1368" w:type="dxa"/>
            <w:vAlign w:val="bottom"/>
          </w:tcPr>
          <w:p w14:paraId="0533A758" w14:textId="77777777" w:rsidR="00E35270" w:rsidRDefault="00E35270">
            <w:pPr>
              <w:jc w:val="right"/>
              <w:rPr>
                <w:rFonts w:ascii="Calibri" w:hAnsi="Calibri" w:cs="Calibri"/>
                <w:color w:val="000000"/>
              </w:rPr>
            </w:pPr>
            <w:r>
              <w:rPr>
                <w:rFonts w:ascii="Calibri" w:hAnsi="Calibri" w:cs="Calibri"/>
                <w:color w:val="000000"/>
              </w:rPr>
              <w:t>1</w:t>
            </w:r>
          </w:p>
        </w:tc>
        <w:tc>
          <w:tcPr>
            <w:tcW w:w="1080" w:type="dxa"/>
            <w:vAlign w:val="bottom"/>
          </w:tcPr>
          <w:p w14:paraId="29A78C33" w14:textId="77777777" w:rsidR="00E35270" w:rsidRDefault="00E35270">
            <w:pPr>
              <w:jc w:val="right"/>
              <w:rPr>
                <w:rFonts w:ascii="Calibri" w:hAnsi="Calibri" w:cs="Calibri"/>
                <w:color w:val="000000"/>
              </w:rPr>
            </w:pPr>
            <w:r>
              <w:rPr>
                <w:rFonts w:ascii="Calibri" w:hAnsi="Calibri" w:cs="Calibri"/>
                <w:color w:val="000000"/>
              </w:rPr>
              <w:t>1</w:t>
            </w:r>
          </w:p>
        </w:tc>
        <w:tc>
          <w:tcPr>
            <w:tcW w:w="1350" w:type="dxa"/>
            <w:vAlign w:val="bottom"/>
          </w:tcPr>
          <w:p w14:paraId="1BBA40F8" w14:textId="77777777" w:rsidR="00E35270" w:rsidRDefault="00E35270">
            <w:pPr>
              <w:jc w:val="right"/>
              <w:rPr>
                <w:rFonts w:ascii="Calibri" w:hAnsi="Calibri" w:cs="Calibri"/>
                <w:color w:val="000000"/>
              </w:rPr>
            </w:pPr>
            <w:r>
              <w:rPr>
                <w:rFonts w:ascii="Calibri" w:hAnsi="Calibri" w:cs="Calibri"/>
                <w:color w:val="000000"/>
              </w:rPr>
              <w:t>-3.1532</w:t>
            </w:r>
          </w:p>
        </w:tc>
        <w:tc>
          <w:tcPr>
            <w:tcW w:w="1260" w:type="dxa"/>
            <w:vAlign w:val="bottom"/>
          </w:tcPr>
          <w:p w14:paraId="535B25A9" w14:textId="77777777" w:rsidR="00E35270" w:rsidRDefault="005B12F5" w:rsidP="00E35270">
            <w:pPr>
              <w:jc w:val="right"/>
              <w:rPr>
                <w:rFonts w:ascii="Calibri" w:hAnsi="Calibri" w:cs="Calibri"/>
                <w:color w:val="FF0000"/>
              </w:rPr>
            </w:pPr>
            <w:r>
              <w:rPr>
                <w:rFonts w:ascii="Calibri" w:hAnsi="Calibri" w:cs="Calibri"/>
                <w:color w:val="FF0000"/>
              </w:rPr>
              <w:t>0.0410</w:t>
            </w:r>
          </w:p>
        </w:tc>
        <w:tc>
          <w:tcPr>
            <w:tcW w:w="1260" w:type="dxa"/>
            <w:vAlign w:val="bottom"/>
          </w:tcPr>
          <w:p w14:paraId="6AC0ADBE" w14:textId="77777777" w:rsidR="00E35270" w:rsidRDefault="00E35270" w:rsidP="00BE219B">
            <w:pPr>
              <w:jc w:val="right"/>
              <w:rPr>
                <w:rFonts w:ascii="Calibri" w:hAnsi="Calibri" w:cs="Calibri"/>
                <w:color w:val="000000"/>
              </w:rPr>
            </w:pPr>
            <w:r>
              <w:rPr>
                <w:rFonts w:ascii="Calibri" w:hAnsi="Calibri" w:cs="Calibri"/>
                <w:color w:val="000000"/>
              </w:rPr>
              <w:t>0.959</w:t>
            </w:r>
            <w:r w:rsidR="001D542C">
              <w:rPr>
                <w:rFonts w:ascii="Calibri" w:hAnsi="Calibri" w:cs="Calibri"/>
                <w:color w:val="000000"/>
              </w:rPr>
              <w:t>0</w:t>
            </w:r>
          </w:p>
        </w:tc>
        <w:tc>
          <w:tcPr>
            <w:tcW w:w="1710" w:type="dxa"/>
            <w:vAlign w:val="bottom"/>
          </w:tcPr>
          <w:p w14:paraId="7CD63AB2" w14:textId="77777777" w:rsidR="00E35270" w:rsidRDefault="00E35270" w:rsidP="00BE219B">
            <w:pPr>
              <w:jc w:val="right"/>
              <w:rPr>
                <w:rFonts w:ascii="Calibri" w:hAnsi="Calibri" w:cs="Calibri"/>
                <w:color w:val="000000"/>
              </w:rPr>
            </w:pPr>
            <w:r>
              <w:rPr>
                <w:rFonts w:ascii="Calibri" w:hAnsi="Calibri" w:cs="Calibri"/>
                <w:color w:val="000000"/>
              </w:rPr>
              <w:t>0.959</w:t>
            </w:r>
            <w:r w:rsidR="001D542C">
              <w:rPr>
                <w:rFonts w:ascii="Calibri" w:hAnsi="Calibri" w:cs="Calibri"/>
                <w:color w:val="000000"/>
              </w:rPr>
              <w:t>0</w:t>
            </w:r>
          </w:p>
        </w:tc>
        <w:tc>
          <w:tcPr>
            <w:tcW w:w="1548" w:type="dxa"/>
            <w:vAlign w:val="bottom"/>
          </w:tcPr>
          <w:p w14:paraId="4196B55A" w14:textId="77777777" w:rsidR="00E35270" w:rsidRDefault="001D542C">
            <w:pPr>
              <w:jc w:val="right"/>
              <w:rPr>
                <w:rFonts w:ascii="Calibri" w:hAnsi="Calibri" w:cs="Calibri"/>
                <w:color w:val="000000"/>
              </w:rPr>
            </w:pPr>
            <w:r>
              <w:rPr>
                <w:rFonts w:ascii="Calibri" w:hAnsi="Calibri" w:cs="Calibri"/>
                <w:color w:val="000000"/>
              </w:rPr>
              <w:t>4.101</w:t>
            </w:r>
          </w:p>
        </w:tc>
      </w:tr>
      <w:tr w:rsidR="00E35270" w14:paraId="1099BA7C" w14:textId="77777777" w:rsidTr="00E35270">
        <w:tc>
          <w:tcPr>
            <w:tcW w:w="1368" w:type="dxa"/>
            <w:vAlign w:val="bottom"/>
          </w:tcPr>
          <w:p w14:paraId="28CDC711" w14:textId="77777777" w:rsidR="00E35270" w:rsidRDefault="00E35270">
            <w:pPr>
              <w:jc w:val="right"/>
              <w:rPr>
                <w:rFonts w:ascii="Calibri" w:hAnsi="Calibri" w:cs="Calibri"/>
                <w:color w:val="000000"/>
              </w:rPr>
            </w:pPr>
            <w:r>
              <w:rPr>
                <w:rFonts w:ascii="Calibri" w:hAnsi="Calibri" w:cs="Calibri"/>
                <w:color w:val="000000"/>
              </w:rPr>
              <w:t>2</w:t>
            </w:r>
          </w:p>
        </w:tc>
        <w:tc>
          <w:tcPr>
            <w:tcW w:w="1080" w:type="dxa"/>
            <w:vAlign w:val="bottom"/>
          </w:tcPr>
          <w:p w14:paraId="795A9C2E" w14:textId="77777777" w:rsidR="00E35270" w:rsidRDefault="005B12F5" w:rsidP="00E35270">
            <w:pPr>
              <w:jc w:val="right"/>
              <w:rPr>
                <w:rFonts w:ascii="Calibri" w:hAnsi="Calibri" w:cs="Calibri"/>
                <w:color w:val="000000"/>
              </w:rPr>
            </w:pPr>
            <w:r>
              <w:rPr>
                <w:rFonts w:ascii="Calibri" w:hAnsi="Calibri" w:cs="Calibri"/>
                <w:color w:val="000000"/>
              </w:rPr>
              <w:t>0.9590</w:t>
            </w:r>
          </w:p>
        </w:tc>
        <w:tc>
          <w:tcPr>
            <w:tcW w:w="1350" w:type="dxa"/>
            <w:vAlign w:val="bottom"/>
          </w:tcPr>
          <w:p w14:paraId="24269C14" w14:textId="77777777" w:rsidR="00E35270" w:rsidRDefault="00E35270">
            <w:pPr>
              <w:jc w:val="right"/>
              <w:rPr>
                <w:rFonts w:ascii="Calibri" w:hAnsi="Calibri" w:cs="Calibri"/>
                <w:color w:val="000000"/>
              </w:rPr>
            </w:pPr>
            <w:r>
              <w:rPr>
                <w:rFonts w:ascii="Calibri" w:hAnsi="Calibri" w:cs="Calibri"/>
                <w:color w:val="000000"/>
              </w:rPr>
              <w:t>-3.2832</w:t>
            </w:r>
          </w:p>
        </w:tc>
        <w:tc>
          <w:tcPr>
            <w:tcW w:w="1260" w:type="dxa"/>
            <w:vAlign w:val="bottom"/>
          </w:tcPr>
          <w:p w14:paraId="783E7F68" w14:textId="77777777" w:rsidR="00E35270" w:rsidRDefault="00E35270" w:rsidP="00E35270">
            <w:pPr>
              <w:jc w:val="right"/>
              <w:rPr>
                <w:rFonts w:ascii="Calibri" w:hAnsi="Calibri" w:cs="Calibri"/>
                <w:color w:val="000000"/>
              </w:rPr>
            </w:pPr>
            <w:r>
              <w:rPr>
                <w:rFonts w:ascii="Calibri" w:hAnsi="Calibri" w:cs="Calibri"/>
                <w:color w:val="000000"/>
              </w:rPr>
              <w:t>0.0362</w:t>
            </w:r>
          </w:p>
        </w:tc>
        <w:tc>
          <w:tcPr>
            <w:tcW w:w="1260" w:type="dxa"/>
            <w:vAlign w:val="bottom"/>
          </w:tcPr>
          <w:p w14:paraId="10AAB850" w14:textId="77777777" w:rsidR="00E35270" w:rsidRDefault="00E35270" w:rsidP="00BE219B">
            <w:pPr>
              <w:jc w:val="right"/>
              <w:rPr>
                <w:rFonts w:ascii="Calibri" w:hAnsi="Calibri" w:cs="Calibri"/>
                <w:color w:val="000000"/>
              </w:rPr>
            </w:pPr>
            <w:r>
              <w:rPr>
                <w:rFonts w:ascii="Calibri" w:hAnsi="Calibri" w:cs="Calibri"/>
                <w:color w:val="000000"/>
              </w:rPr>
              <w:t>0.9638</w:t>
            </w:r>
          </w:p>
        </w:tc>
        <w:tc>
          <w:tcPr>
            <w:tcW w:w="1710" w:type="dxa"/>
            <w:vAlign w:val="bottom"/>
          </w:tcPr>
          <w:p w14:paraId="006D8E89" w14:textId="77777777" w:rsidR="00E35270" w:rsidRDefault="001D542C" w:rsidP="00BE219B">
            <w:pPr>
              <w:jc w:val="right"/>
              <w:rPr>
                <w:rFonts w:ascii="Calibri" w:hAnsi="Calibri" w:cs="Calibri"/>
                <w:color w:val="000000"/>
              </w:rPr>
            </w:pPr>
            <w:r>
              <w:rPr>
                <w:rFonts w:ascii="Calibri" w:hAnsi="Calibri" w:cs="Calibri"/>
                <w:color w:val="000000"/>
              </w:rPr>
              <w:t>0.9243</w:t>
            </w:r>
          </w:p>
        </w:tc>
        <w:tc>
          <w:tcPr>
            <w:tcW w:w="1548" w:type="dxa"/>
            <w:vAlign w:val="bottom"/>
          </w:tcPr>
          <w:p w14:paraId="0601DD76" w14:textId="77777777" w:rsidR="00E35270" w:rsidRDefault="001D542C">
            <w:pPr>
              <w:jc w:val="right"/>
              <w:rPr>
                <w:rFonts w:ascii="Calibri" w:hAnsi="Calibri" w:cs="Calibri"/>
                <w:color w:val="000000"/>
              </w:rPr>
            </w:pPr>
            <w:r>
              <w:rPr>
                <w:rFonts w:ascii="Calibri" w:hAnsi="Calibri" w:cs="Calibri"/>
                <w:color w:val="000000"/>
              </w:rPr>
              <w:t>7.568</w:t>
            </w:r>
          </w:p>
        </w:tc>
      </w:tr>
      <w:tr w:rsidR="00E35270" w14:paraId="676D9571" w14:textId="77777777" w:rsidTr="00E35270">
        <w:tc>
          <w:tcPr>
            <w:tcW w:w="1368" w:type="dxa"/>
            <w:vAlign w:val="bottom"/>
          </w:tcPr>
          <w:p w14:paraId="7493D203" w14:textId="77777777" w:rsidR="00E35270" w:rsidRDefault="00E35270">
            <w:pPr>
              <w:jc w:val="right"/>
              <w:rPr>
                <w:rFonts w:ascii="Calibri" w:hAnsi="Calibri" w:cs="Calibri"/>
                <w:color w:val="000000"/>
              </w:rPr>
            </w:pPr>
            <w:r>
              <w:rPr>
                <w:rFonts w:ascii="Calibri" w:hAnsi="Calibri" w:cs="Calibri"/>
                <w:color w:val="000000"/>
              </w:rPr>
              <w:t>3</w:t>
            </w:r>
          </w:p>
        </w:tc>
        <w:tc>
          <w:tcPr>
            <w:tcW w:w="1080" w:type="dxa"/>
            <w:vAlign w:val="bottom"/>
          </w:tcPr>
          <w:p w14:paraId="65ECA90A" w14:textId="77777777" w:rsidR="00E35270" w:rsidRDefault="005B12F5" w:rsidP="00E35270">
            <w:pPr>
              <w:jc w:val="right"/>
              <w:rPr>
                <w:rFonts w:ascii="Calibri" w:hAnsi="Calibri" w:cs="Calibri"/>
                <w:color w:val="000000"/>
              </w:rPr>
            </w:pPr>
            <w:r>
              <w:rPr>
                <w:rFonts w:ascii="Calibri" w:hAnsi="Calibri" w:cs="Calibri"/>
                <w:color w:val="000000"/>
              </w:rPr>
              <w:t>0.9243</w:t>
            </w:r>
          </w:p>
        </w:tc>
        <w:tc>
          <w:tcPr>
            <w:tcW w:w="1350" w:type="dxa"/>
            <w:vAlign w:val="bottom"/>
          </w:tcPr>
          <w:p w14:paraId="431DE2E3" w14:textId="77777777" w:rsidR="00E35270" w:rsidRDefault="00E35270">
            <w:pPr>
              <w:jc w:val="right"/>
              <w:rPr>
                <w:rFonts w:ascii="Calibri" w:hAnsi="Calibri" w:cs="Calibri"/>
                <w:color w:val="000000"/>
              </w:rPr>
            </w:pPr>
            <w:r>
              <w:rPr>
                <w:rFonts w:ascii="Calibri" w:hAnsi="Calibri" w:cs="Calibri"/>
                <w:color w:val="000000"/>
              </w:rPr>
              <w:t>-3.4132</w:t>
            </w:r>
          </w:p>
        </w:tc>
        <w:tc>
          <w:tcPr>
            <w:tcW w:w="1260" w:type="dxa"/>
            <w:vAlign w:val="bottom"/>
          </w:tcPr>
          <w:p w14:paraId="6C95FAC6" w14:textId="77777777" w:rsidR="00E35270" w:rsidRDefault="00E35270" w:rsidP="00E35270">
            <w:pPr>
              <w:jc w:val="right"/>
              <w:rPr>
                <w:rFonts w:ascii="Calibri" w:hAnsi="Calibri" w:cs="Calibri"/>
                <w:color w:val="000000"/>
              </w:rPr>
            </w:pPr>
            <w:r>
              <w:rPr>
                <w:rFonts w:ascii="Calibri" w:hAnsi="Calibri" w:cs="Calibri"/>
                <w:color w:val="000000"/>
              </w:rPr>
              <w:t>0.0319</w:t>
            </w:r>
          </w:p>
        </w:tc>
        <w:tc>
          <w:tcPr>
            <w:tcW w:w="1260" w:type="dxa"/>
            <w:vAlign w:val="bottom"/>
          </w:tcPr>
          <w:p w14:paraId="50C275BD" w14:textId="77777777" w:rsidR="00E35270" w:rsidRDefault="00E35270" w:rsidP="00BE219B">
            <w:pPr>
              <w:jc w:val="right"/>
              <w:rPr>
                <w:rFonts w:ascii="Calibri" w:hAnsi="Calibri" w:cs="Calibri"/>
                <w:color w:val="000000"/>
              </w:rPr>
            </w:pPr>
            <w:r>
              <w:rPr>
                <w:rFonts w:ascii="Calibri" w:hAnsi="Calibri" w:cs="Calibri"/>
                <w:color w:val="000000"/>
              </w:rPr>
              <w:t>0.9681</w:t>
            </w:r>
          </w:p>
        </w:tc>
        <w:tc>
          <w:tcPr>
            <w:tcW w:w="1710" w:type="dxa"/>
            <w:vAlign w:val="bottom"/>
          </w:tcPr>
          <w:p w14:paraId="4F2BBE95" w14:textId="77777777" w:rsidR="00E35270" w:rsidRDefault="001D542C" w:rsidP="00BE219B">
            <w:pPr>
              <w:jc w:val="right"/>
              <w:rPr>
                <w:rFonts w:ascii="Calibri" w:hAnsi="Calibri" w:cs="Calibri"/>
                <w:color w:val="000000"/>
              </w:rPr>
            </w:pPr>
            <w:r>
              <w:rPr>
                <w:rFonts w:ascii="Calibri" w:hAnsi="Calibri" w:cs="Calibri"/>
                <w:color w:val="000000"/>
              </w:rPr>
              <w:t>0.8948</w:t>
            </w:r>
          </w:p>
        </w:tc>
        <w:tc>
          <w:tcPr>
            <w:tcW w:w="1548" w:type="dxa"/>
            <w:vAlign w:val="bottom"/>
          </w:tcPr>
          <w:p w14:paraId="5C3B3BAF" w14:textId="77777777" w:rsidR="00E35270" w:rsidRDefault="001D542C">
            <w:pPr>
              <w:jc w:val="right"/>
              <w:rPr>
                <w:rFonts w:ascii="Calibri" w:hAnsi="Calibri" w:cs="Calibri"/>
                <w:color w:val="000000"/>
              </w:rPr>
            </w:pPr>
            <w:r>
              <w:rPr>
                <w:rFonts w:ascii="Calibri" w:hAnsi="Calibri" w:cs="Calibri"/>
                <w:color w:val="000000"/>
              </w:rPr>
              <w:t>10.515</w:t>
            </w:r>
          </w:p>
        </w:tc>
      </w:tr>
      <w:tr w:rsidR="00E35270" w14:paraId="015F7CA6" w14:textId="77777777" w:rsidTr="00E35270">
        <w:tc>
          <w:tcPr>
            <w:tcW w:w="1368" w:type="dxa"/>
            <w:vAlign w:val="bottom"/>
          </w:tcPr>
          <w:p w14:paraId="720B0D54" w14:textId="77777777" w:rsidR="00E35270" w:rsidRDefault="00E35270">
            <w:pPr>
              <w:jc w:val="right"/>
              <w:rPr>
                <w:rFonts w:ascii="Calibri" w:hAnsi="Calibri" w:cs="Calibri"/>
                <w:color w:val="000000"/>
              </w:rPr>
            </w:pPr>
            <w:r>
              <w:rPr>
                <w:rFonts w:ascii="Calibri" w:hAnsi="Calibri" w:cs="Calibri"/>
                <w:color w:val="000000"/>
              </w:rPr>
              <w:t>4</w:t>
            </w:r>
          </w:p>
        </w:tc>
        <w:tc>
          <w:tcPr>
            <w:tcW w:w="1080" w:type="dxa"/>
            <w:vAlign w:val="bottom"/>
          </w:tcPr>
          <w:p w14:paraId="2D0B4455" w14:textId="77777777" w:rsidR="00E35270" w:rsidRDefault="005B12F5" w:rsidP="00E35270">
            <w:pPr>
              <w:jc w:val="right"/>
              <w:rPr>
                <w:rFonts w:ascii="Calibri" w:hAnsi="Calibri" w:cs="Calibri"/>
                <w:color w:val="000000"/>
              </w:rPr>
            </w:pPr>
            <w:r>
              <w:rPr>
                <w:rFonts w:ascii="Calibri" w:hAnsi="Calibri" w:cs="Calibri"/>
                <w:color w:val="000000"/>
              </w:rPr>
              <w:t>0.8948</w:t>
            </w:r>
          </w:p>
        </w:tc>
        <w:tc>
          <w:tcPr>
            <w:tcW w:w="1350" w:type="dxa"/>
            <w:vAlign w:val="bottom"/>
          </w:tcPr>
          <w:p w14:paraId="24492B40" w14:textId="77777777" w:rsidR="00E35270" w:rsidRDefault="00E35270">
            <w:pPr>
              <w:jc w:val="right"/>
              <w:rPr>
                <w:rFonts w:ascii="Calibri" w:hAnsi="Calibri" w:cs="Calibri"/>
                <w:color w:val="000000"/>
              </w:rPr>
            </w:pPr>
            <w:r>
              <w:rPr>
                <w:rFonts w:ascii="Calibri" w:hAnsi="Calibri" w:cs="Calibri"/>
                <w:color w:val="000000"/>
              </w:rPr>
              <w:t>-3.5432</w:t>
            </w:r>
          </w:p>
        </w:tc>
        <w:tc>
          <w:tcPr>
            <w:tcW w:w="1260" w:type="dxa"/>
            <w:vAlign w:val="bottom"/>
          </w:tcPr>
          <w:p w14:paraId="260CFCD6" w14:textId="77777777" w:rsidR="00E35270" w:rsidRDefault="00E35270" w:rsidP="00E35270">
            <w:pPr>
              <w:jc w:val="right"/>
              <w:rPr>
                <w:rFonts w:ascii="Calibri" w:hAnsi="Calibri" w:cs="Calibri"/>
                <w:color w:val="000000"/>
              </w:rPr>
            </w:pPr>
            <w:r>
              <w:rPr>
                <w:rFonts w:ascii="Calibri" w:hAnsi="Calibri" w:cs="Calibri"/>
                <w:color w:val="000000"/>
              </w:rPr>
              <w:t>0.0281</w:t>
            </w:r>
          </w:p>
        </w:tc>
        <w:tc>
          <w:tcPr>
            <w:tcW w:w="1260" w:type="dxa"/>
            <w:vAlign w:val="bottom"/>
          </w:tcPr>
          <w:p w14:paraId="5B4C5543" w14:textId="77777777" w:rsidR="00E35270" w:rsidRDefault="00E35270" w:rsidP="00BE219B">
            <w:pPr>
              <w:jc w:val="right"/>
              <w:rPr>
                <w:rFonts w:ascii="Calibri" w:hAnsi="Calibri" w:cs="Calibri"/>
                <w:color w:val="000000"/>
              </w:rPr>
            </w:pPr>
            <w:r>
              <w:rPr>
                <w:rFonts w:ascii="Calibri" w:hAnsi="Calibri" w:cs="Calibri"/>
                <w:color w:val="000000"/>
              </w:rPr>
              <w:t>0.971</w:t>
            </w:r>
            <w:r w:rsidR="00BE219B">
              <w:rPr>
                <w:rFonts w:ascii="Calibri" w:hAnsi="Calibri" w:cs="Calibri"/>
                <w:color w:val="000000"/>
              </w:rPr>
              <w:t>9</w:t>
            </w:r>
          </w:p>
        </w:tc>
        <w:tc>
          <w:tcPr>
            <w:tcW w:w="1710" w:type="dxa"/>
            <w:vAlign w:val="bottom"/>
          </w:tcPr>
          <w:p w14:paraId="1A6FDC09" w14:textId="77777777" w:rsidR="00E35270" w:rsidRDefault="00E35270" w:rsidP="00BE219B">
            <w:pPr>
              <w:jc w:val="right"/>
              <w:rPr>
                <w:rFonts w:ascii="Calibri" w:hAnsi="Calibri" w:cs="Calibri"/>
                <w:color w:val="000000"/>
              </w:rPr>
            </w:pPr>
            <w:r>
              <w:rPr>
                <w:rFonts w:ascii="Calibri" w:hAnsi="Calibri" w:cs="Calibri"/>
                <w:color w:val="000000"/>
              </w:rPr>
              <w:t>0.869</w:t>
            </w:r>
            <w:r w:rsidR="001D542C">
              <w:rPr>
                <w:rFonts w:ascii="Calibri" w:hAnsi="Calibri" w:cs="Calibri"/>
                <w:color w:val="000000"/>
              </w:rPr>
              <w:t>7</w:t>
            </w:r>
          </w:p>
        </w:tc>
        <w:tc>
          <w:tcPr>
            <w:tcW w:w="1548" w:type="dxa"/>
            <w:vAlign w:val="bottom"/>
          </w:tcPr>
          <w:p w14:paraId="5058FFF0" w14:textId="77777777" w:rsidR="00E35270" w:rsidRDefault="001D542C">
            <w:pPr>
              <w:jc w:val="right"/>
              <w:rPr>
                <w:rFonts w:ascii="Calibri" w:hAnsi="Calibri" w:cs="Calibri"/>
                <w:color w:val="000000"/>
              </w:rPr>
            </w:pPr>
            <w:r>
              <w:rPr>
                <w:rFonts w:ascii="Calibri" w:hAnsi="Calibri" w:cs="Calibri"/>
                <w:color w:val="000000"/>
              </w:rPr>
              <w:t>13.031</w:t>
            </w:r>
          </w:p>
        </w:tc>
      </w:tr>
      <w:tr w:rsidR="00E35270" w14:paraId="3B40DC43" w14:textId="77777777" w:rsidTr="00E35270">
        <w:tc>
          <w:tcPr>
            <w:tcW w:w="1368" w:type="dxa"/>
            <w:vAlign w:val="bottom"/>
          </w:tcPr>
          <w:p w14:paraId="473D9358" w14:textId="77777777" w:rsidR="00E35270" w:rsidRDefault="00E35270">
            <w:pPr>
              <w:jc w:val="right"/>
              <w:rPr>
                <w:rFonts w:ascii="Calibri" w:hAnsi="Calibri" w:cs="Calibri"/>
                <w:color w:val="000000"/>
              </w:rPr>
            </w:pPr>
            <w:r>
              <w:rPr>
                <w:rFonts w:ascii="Calibri" w:hAnsi="Calibri" w:cs="Calibri"/>
                <w:color w:val="000000"/>
              </w:rPr>
              <w:t>5</w:t>
            </w:r>
          </w:p>
        </w:tc>
        <w:tc>
          <w:tcPr>
            <w:tcW w:w="1080" w:type="dxa"/>
            <w:vAlign w:val="bottom"/>
          </w:tcPr>
          <w:p w14:paraId="204A62CD" w14:textId="77777777" w:rsidR="00E35270" w:rsidRDefault="005B12F5" w:rsidP="00E35270">
            <w:pPr>
              <w:jc w:val="right"/>
              <w:rPr>
                <w:rFonts w:ascii="Calibri" w:hAnsi="Calibri" w:cs="Calibri"/>
                <w:color w:val="000000"/>
              </w:rPr>
            </w:pPr>
            <w:r>
              <w:rPr>
                <w:rFonts w:ascii="Calibri" w:hAnsi="Calibri" w:cs="Calibri"/>
                <w:color w:val="000000"/>
              </w:rPr>
              <w:t>0.8697</w:t>
            </w:r>
          </w:p>
        </w:tc>
        <w:tc>
          <w:tcPr>
            <w:tcW w:w="1350" w:type="dxa"/>
            <w:vAlign w:val="bottom"/>
          </w:tcPr>
          <w:p w14:paraId="60BD0A84" w14:textId="77777777" w:rsidR="00E35270" w:rsidRDefault="00E35270">
            <w:pPr>
              <w:jc w:val="right"/>
              <w:rPr>
                <w:rFonts w:ascii="Calibri" w:hAnsi="Calibri" w:cs="Calibri"/>
                <w:color w:val="000000"/>
              </w:rPr>
            </w:pPr>
            <w:r>
              <w:rPr>
                <w:rFonts w:ascii="Calibri" w:hAnsi="Calibri" w:cs="Calibri"/>
                <w:color w:val="000000"/>
              </w:rPr>
              <w:t>-3.6732</w:t>
            </w:r>
          </w:p>
        </w:tc>
        <w:tc>
          <w:tcPr>
            <w:tcW w:w="1260" w:type="dxa"/>
            <w:vAlign w:val="bottom"/>
          </w:tcPr>
          <w:p w14:paraId="4F49650F" w14:textId="77777777" w:rsidR="00E35270" w:rsidRDefault="00E35270" w:rsidP="00E35270">
            <w:pPr>
              <w:jc w:val="right"/>
              <w:rPr>
                <w:rFonts w:ascii="Calibri" w:hAnsi="Calibri" w:cs="Calibri"/>
                <w:color w:val="000000"/>
              </w:rPr>
            </w:pPr>
            <w:r>
              <w:rPr>
                <w:rFonts w:ascii="Calibri" w:hAnsi="Calibri" w:cs="Calibri"/>
                <w:color w:val="000000"/>
              </w:rPr>
              <w:t>0.0248</w:t>
            </w:r>
          </w:p>
        </w:tc>
        <w:tc>
          <w:tcPr>
            <w:tcW w:w="1260" w:type="dxa"/>
            <w:vAlign w:val="bottom"/>
          </w:tcPr>
          <w:p w14:paraId="4DB6DAFF" w14:textId="77777777" w:rsidR="00E35270" w:rsidRDefault="00E35270" w:rsidP="00BE219B">
            <w:pPr>
              <w:jc w:val="right"/>
              <w:rPr>
                <w:rFonts w:ascii="Calibri" w:hAnsi="Calibri" w:cs="Calibri"/>
                <w:color w:val="000000"/>
              </w:rPr>
            </w:pPr>
            <w:r>
              <w:rPr>
                <w:rFonts w:ascii="Calibri" w:hAnsi="Calibri" w:cs="Calibri"/>
                <w:color w:val="000000"/>
              </w:rPr>
              <w:t>0.9752</w:t>
            </w:r>
          </w:p>
        </w:tc>
        <w:tc>
          <w:tcPr>
            <w:tcW w:w="1710" w:type="dxa"/>
            <w:vAlign w:val="bottom"/>
          </w:tcPr>
          <w:p w14:paraId="7AFC4DB6" w14:textId="77777777" w:rsidR="00E35270" w:rsidRDefault="001D542C" w:rsidP="00BE219B">
            <w:pPr>
              <w:jc w:val="right"/>
              <w:rPr>
                <w:rFonts w:ascii="Calibri" w:hAnsi="Calibri" w:cs="Calibri"/>
                <w:color w:val="000000"/>
              </w:rPr>
            </w:pPr>
            <w:r>
              <w:rPr>
                <w:rFonts w:ascii="Calibri" w:hAnsi="Calibri" w:cs="Calibri"/>
                <w:color w:val="000000"/>
              </w:rPr>
              <w:t>0.8481</w:t>
            </w:r>
          </w:p>
        </w:tc>
        <w:tc>
          <w:tcPr>
            <w:tcW w:w="1548" w:type="dxa"/>
            <w:vAlign w:val="bottom"/>
          </w:tcPr>
          <w:p w14:paraId="3C3E4098" w14:textId="77777777" w:rsidR="00E35270" w:rsidRDefault="001D542C">
            <w:pPr>
              <w:jc w:val="right"/>
              <w:rPr>
                <w:rFonts w:ascii="Calibri" w:hAnsi="Calibri" w:cs="Calibri"/>
                <w:color w:val="000000"/>
              </w:rPr>
            </w:pPr>
            <w:r>
              <w:rPr>
                <w:rFonts w:ascii="Calibri" w:hAnsi="Calibri" w:cs="Calibri"/>
                <w:color w:val="000000"/>
              </w:rPr>
              <w:t>15.185</w:t>
            </w:r>
          </w:p>
        </w:tc>
      </w:tr>
    </w:tbl>
    <w:p w14:paraId="424ED666" w14:textId="77777777" w:rsidR="00AF2290" w:rsidRDefault="00AF2290" w:rsidP="00FF0924">
      <w:pPr>
        <w:spacing w:after="0" w:line="240" w:lineRule="auto"/>
        <w:rPr>
          <w:rFonts w:ascii="Times New Roman" w:hAnsi="Times New Roman" w:cs="Times New Roman"/>
          <w:sz w:val="24"/>
          <w:szCs w:val="24"/>
        </w:rPr>
      </w:pPr>
    </w:p>
    <w:p w14:paraId="6583DBA6" w14:textId="044EA06F" w:rsidR="005C3A22" w:rsidRDefault="00E32D6E" w:rsidP="000A46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the </w:t>
      </w:r>
      <w:r w:rsidR="00001AEE">
        <w:rPr>
          <w:rFonts w:ascii="Times New Roman" w:hAnsi="Times New Roman" w:cs="Times New Roman"/>
          <w:sz w:val="24"/>
          <w:szCs w:val="24"/>
        </w:rPr>
        <w:t xml:space="preserve">explicit </w:t>
      </w:r>
      <w:r>
        <w:rPr>
          <w:rFonts w:ascii="Times New Roman" w:hAnsi="Times New Roman" w:cs="Times New Roman"/>
          <w:sz w:val="24"/>
          <w:szCs w:val="24"/>
        </w:rPr>
        <w:t>assumption that the residual risk for reoffending sexually is negligible for an individual with a history of sexual offending after 20 years in the community without re-offending sexually</w:t>
      </w:r>
      <w:r w:rsidR="00910B84">
        <w:rPr>
          <w:rFonts w:ascii="Times New Roman" w:hAnsi="Times New Roman" w:cs="Times New Roman"/>
          <w:sz w:val="24"/>
          <w:szCs w:val="24"/>
        </w:rPr>
        <w:t>,</w:t>
      </w:r>
      <w:r>
        <w:rPr>
          <w:rFonts w:ascii="Times New Roman" w:hAnsi="Times New Roman" w:cs="Times New Roman"/>
          <w:sz w:val="24"/>
          <w:szCs w:val="24"/>
        </w:rPr>
        <w:t xml:space="preserve"> the</w:t>
      </w:r>
      <w:r w:rsidR="00AF2290">
        <w:rPr>
          <w:rFonts w:ascii="Times New Roman" w:hAnsi="Times New Roman" w:cs="Times New Roman"/>
          <w:sz w:val="24"/>
          <w:szCs w:val="24"/>
        </w:rPr>
        <w:t xml:space="preserve"> projected 20-year recidivism rate</w:t>
      </w:r>
      <w:r w:rsidR="000D7FBA">
        <w:rPr>
          <w:rFonts w:ascii="Times New Roman" w:hAnsi="Times New Roman" w:cs="Times New Roman"/>
          <w:sz w:val="24"/>
          <w:szCs w:val="24"/>
        </w:rPr>
        <w:t xml:space="preserve"> (cell </w:t>
      </w:r>
      <w:r w:rsidR="002777F8">
        <w:rPr>
          <w:rFonts w:ascii="Times New Roman" w:hAnsi="Times New Roman" w:cs="Times New Roman"/>
          <w:sz w:val="24"/>
          <w:szCs w:val="24"/>
        </w:rPr>
        <w:t>G21 of the “</w:t>
      </w:r>
      <w:proofErr w:type="spellStart"/>
      <w:r w:rsidR="002777F8">
        <w:rPr>
          <w:rFonts w:ascii="Times New Roman" w:hAnsi="Times New Roman" w:cs="Times New Roman"/>
          <w:sz w:val="24"/>
          <w:szCs w:val="24"/>
        </w:rPr>
        <w:t>GHR_RecidRates</w:t>
      </w:r>
      <w:proofErr w:type="spellEnd"/>
      <w:r w:rsidR="002777F8">
        <w:rPr>
          <w:rFonts w:ascii="Times New Roman" w:hAnsi="Times New Roman" w:cs="Times New Roman"/>
          <w:sz w:val="24"/>
          <w:szCs w:val="24"/>
        </w:rPr>
        <w:t>” tab/worksheet</w:t>
      </w:r>
      <w:r w:rsidR="0046362F">
        <w:rPr>
          <w:rFonts w:ascii="Times New Roman" w:hAnsi="Times New Roman" w:cs="Times New Roman"/>
          <w:sz w:val="24"/>
          <w:szCs w:val="24"/>
        </w:rPr>
        <w:t>) is used as</w:t>
      </w:r>
      <w:r w:rsidR="000D7FBA">
        <w:rPr>
          <w:rFonts w:ascii="Times New Roman" w:hAnsi="Times New Roman" w:cs="Times New Roman"/>
          <w:sz w:val="24"/>
          <w:szCs w:val="24"/>
        </w:rPr>
        <w:t xml:space="preserve"> the overall lifetime risk at </w:t>
      </w:r>
      <w:r w:rsidR="000D7FBA" w:rsidRPr="00C850F2">
        <w:rPr>
          <w:rFonts w:ascii="Times New Roman" w:hAnsi="Times New Roman" w:cs="Times New Roman"/>
          <w:sz w:val="24"/>
          <w:szCs w:val="24"/>
        </w:rPr>
        <w:t>the time of release</w:t>
      </w:r>
      <w:r w:rsidR="00910B84" w:rsidRPr="00C850F2">
        <w:rPr>
          <w:rFonts w:ascii="Times New Roman" w:hAnsi="Times New Roman" w:cs="Times New Roman"/>
          <w:sz w:val="24"/>
          <w:szCs w:val="24"/>
        </w:rPr>
        <w:t>.</w:t>
      </w:r>
      <w:r w:rsidR="00001AEE">
        <w:rPr>
          <w:rFonts w:ascii="Times New Roman" w:hAnsi="Times New Roman" w:cs="Times New Roman"/>
          <w:sz w:val="24"/>
          <w:szCs w:val="24"/>
        </w:rPr>
        <w:t xml:space="preserve">  This value is</w:t>
      </w:r>
      <w:r w:rsidR="00C850F2" w:rsidRPr="00C850F2">
        <w:rPr>
          <w:rFonts w:ascii="Times New Roman" w:hAnsi="Times New Roman" w:cs="Times New Roman"/>
          <w:sz w:val="24"/>
          <w:szCs w:val="24"/>
        </w:rPr>
        <w:t xml:space="preserve"> equivalent to the </w:t>
      </w:r>
      <w:r w:rsidR="005C3A22">
        <w:rPr>
          <w:rFonts w:ascii="Times New Roman" w:hAnsi="Times New Roman" w:cs="Times New Roman"/>
          <w:sz w:val="24"/>
          <w:szCs w:val="24"/>
        </w:rPr>
        <w:t xml:space="preserve">1 minus the </w:t>
      </w:r>
      <w:r w:rsidR="00D12ABD" w:rsidRPr="00116F44">
        <w:rPr>
          <w:rFonts w:ascii="Times New Roman" w:hAnsi="Times New Roman" w:cs="Times New Roman"/>
          <w:sz w:val="24"/>
          <w:szCs w:val="24"/>
        </w:rPr>
        <w:t>cumulative survival rate of a population</w:t>
      </w:r>
      <w:r w:rsidR="00674F93">
        <w:rPr>
          <w:rFonts w:ascii="Times New Roman" w:hAnsi="Times New Roman" w:cs="Times New Roman"/>
          <w:sz w:val="24"/>
          <w:szCs w:val="24"/>
        </w:rPr>
        <w:t xml:space="preserve"> (</w:t>
      </w:r>
      <w:r w:rsidR="00674F93" w:rsidRPr="00674F93">
        <w:rPr>
          <w:rFonts w:ascii="Times New Roman" w:hAnsi="Times New Roman" w:cs="Times New Roman"/>
          <w:b/>
          <w:i/>
          <w:sz w:val="24"/>
          <w:szCs w:val="24"/>
        </w:rPr>
        <w:t>S</w:t>
      </w:r>
      <w:r w:rsidR="00674F93" w:rsidRPr="00674F93">
        <w:rPr>
          <w:rFonts w:ascii="Times New Roman" w:hAnsi="Times New Roman" w:cs="Times New Roman"/>
          <w:b/>
          <w:i/>
          <w:sz w:val="24"/>
          <w:szCs w:val="24"/>
          <w:vertAlign w:val="subscript"/>
        </w:rPr>
        <w:t>T</w:t>
      </w:r>
      <w:r w:rsidR="00674F93">
        <w:rPr>
          <w:rFonts w:ascii="Times New Roman" w:hAnsi="Times New Roman" w:cs="Times New Roman"/>
          <w:sz w:val="24"/>
          <w:szCs w:val="24"/>
        </w:rPr>
        <w:t>)</w:t>
      </w:r>
      <w:r w:rsidR="00137BAE">
        <w:rPr>
          <w:rFonts w:ascii="Times New Roman" w:hAnsi="Times New Roman" w:cs="Times New Roman"/>
          <w:sz w:val="24"/>
          <w:szCs w:val="24"/>
        </w:rPr>
        <w:t>.  T</w:t>
      </w:r>
      <w:r w:rsidR="00116F44">
        <w:rPr>
          <w:rFonts w:ascii="Times New Roman" w:hAnsi="Times New Roman" w:cs="Times New Roman"/>
          <w:sz w:val="24"/>
          <w:szCs w:val="24"/>
        </w:rPr>
        <w:t>he cumulative survival rate</w:t>
      </w:r>
      <w:r w:rsidR="005C3A22">
        <w:rPr>
          <w:rFonts w:ascii="Times New Roman" w:hAnsi="Times New Roman" w:cs="Times New Roman"/>
          <w:sz w:val="24"/>
          <w:szCs w:val="24"/>
        </w:rPr>
        <w:t xml:space="preserve"> </w:t>
      </w:r>
      <w:r w:rsidR="00137BAE">
        <w:rPr>
          <w:rFonts w:ascii="Times New Roman" w:hAnsi="Times New Roman" w:cs="Times New Roman"/>
          <w:sz w:val="24"/>
          <w:szCs w:val="24"/>
        </w:rPr>
        <w:t xml:space="preserve">is </w:t>
      </w:r>
      <w:r w:rsidR="005C3A22">
        <w:rPr>
          <w:rFonts w:ascii="Times New Roman" w:hAnsi="Times New Roman" w:cs="Times New Roman"/>
          <w:sz w:val="24"/>
          <w:szCs w:val="24"/>
        </w:rPr>
        <w:t xml:space="preserve">also </w:t>
      </w:r>
      <w:r w:rsidR="00D12ABD">
        <w:rPr>
          <w:rFonts w:ascii="Times New Roman" w:hAnsi="Times New Roman" w:cs="Times New Roman"/>
          <w:sz w:val="24"/>
          <w:szCs w:val="24"/>
        </w:rPr>
        <w:t xml:space="preserve">the </w:t>
      </w:r>
      <w:r w:rsidR="00C850F2" w:rsidRPr="00C850F2">
        <w:rPr>
          <w:rFonts w:ascii="Times New Roman" w:hAnsi="Times New Roman" w:cs="Times New Roman"/>
          <w:sz w:val="24"/>
          <w:szCs w:val="24"/>
        </w:rPr>
        <w:t xml:space="preserve">product of </w:t>
      </w:r>
      <w:r w:rsidR="00D12ABD">
        <w:rPr>
          <w:rFonts w:ascii="Times New Roman" w:hAnsi="Times New Roman" w:cs="Times New Roman"/>
          <w:sz w:val="24"/>
          <w:szCs w:val="24"/>
        </w:rPr>
        <w:t xml:space="preserve">yearly </w:t>
      </w:r>
      <w:r w:rsidR="00C850F2" w:rsidRPr="00C850F2">
        <w:rPr>
          <w:rFonts w:ascii="Times New Roman" w:hAnsi="Times New Roman" w:cs="Times New Roman"/>
          <w:sz w:val="24"/>
          <w:szCs w:val="24"/>
        </w:rPr>
        <w:t xml:space="preserve">survival rates </w:t>
      </w:r>
      <w:r w:rsidR="00D12ABD">
        <w:rPr>
          <w:rFonts w:ascii="Times New Roman" w:hAnsi="Times New Roman" w:cs="Times New Roman"/>
          <w:sz w:val="24"/>
          <w:szCs w:val="24"/>
        </w:rPr>
        <w:t xml:space="preserve">across all </w:t>
      </w:r>
      <w:r w:rsidR="00C850F2" w:rsidRPr="00C850F2">
        <w:rPr>
          <w:rFonts w:ascii="Times New Roman" w:hAnsi="Times New Roman" w:cs="Times New Roman"/>
          <w:sz w:val="24"/>
          <w:szCs w:val="24"/>
        </w:rPr>
        <w:t>year</w:t>
      </w:r>
      <w:r w:rsidR="00D12ABD">
        <w:rPr>
          <w:rFonts w:ascii="Times New Roman" w:hAnsi="Times New Roman" w:cs="Times New Roman"/>
          <w:sz w:val="24"/>
          <w:szCs w:val="24"/>
        </w:rPr>
        <w:t>s</w:t>
      </w:r>
      <w:r w:rsidR="00C850F2" w:rsidRPr="00C850F2">
        <w:rPr>
          <w:rFonts w:ascii="Times New Roman" w:hAnsi="Times New Roman" w:cs="Times New Roman"/>
          <w:sz w:val="24"/>
          <w:szCs w:val="24"/>
        </w:rPr>
        <w:t xml:space="preserve"> at </w:t>
      </w:r>
      <w:r w:rsidR="00C850F2" w:rsidRPr="00674F93">
        <w:rPr>
          <w:rFonts w:ascii="Times New Roman" w:hAnsi="Times New Roman" w:cs="Times New Roman"/>
          <w:sz w:val="24"/>
          <w:szCs w:val="24"/>
        </w:rPr>
        <w:t>risk</w:t>
      </w:r>
      <w:r w:rsidR="00116F44">
        <w:rPr>
          <w:rFonts w:ascii="Times New Roman" w:hAnsi="Times New Roman" w:cs="Times New Roman"/>
          <w:sz w:val="24"/>
          <w:szCs w:val="24"/>
        </w:rPr>
        <w:t xml:space="preserve">: </w:t>
      </w:r>
      <w:r w:rsidR="00D12ABD" w:rsidRPr="00674F93">
        <w:rPr>
          <w:rFonts w:ascii="Times New Roman" w:hAnsi="Times New Roman" w:cs="Times New Roman"/>
          <w:b/>
          <w:i/>
          <w:sz w:val="24"/>
          <w:szCs w:val="24"/>
        </w:rPr>
        <w:t>S</w:t>
      </w:r>
      <w:r w:rsidR="00D12ABD" w:rsidRPr="00674F93">
        <w:rPr>
          <w:rFonts w:ascii="Times New Roman" w:hAnsi="Times New Roman" w:cs="Times New Roman"/>
          <w:b/>
          <w:i/>
          <w:sz w:val="24"/>
          <w:szCs w:val="24"/>
          <w:vertAlign w:val="subscript"/>
        </w:rPr>
        <w:t>T</w:t>
      </w:r>
      <w:r w:rsidR="00D12ABD" w:rsidRPr="00674F93">
        <w:rPr>
          <w:rFonts w:ascii="Times New Roman" w:hAnsi="Times New Roman" w:cs="Times New Roman"/>
          <w:sz w:val="24"/>
          <w:szCs w:val="24"/>
        </w:rPr>
        <w:t xml:space="preserve">  </w:t>
      </w:r>
      <m:oMath>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year=1</m:t>
            </m:r>
          </m:sub>
          <m:sup>
            <m:r>
              <w:rPr>
                <w:rFonts w:ascii="Cambria Math" w:hAnsi="Cambria Math" w:cs="Times New Roman"/>
                <w:sz w:val="24"/>
                <w:szCs w:val="24"/>
              </w:rPr>
              <m:t>t</m:t>
            </m:r>
          </m:sup>
          <m:e>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t</m:t>
                    </m:r>
                  </m:sub>
                </m:sSub>
              </m:e>
            </m:d>
          </m:e>
        </m:nary>
      </m:oMath>
      <w:r w:rsidR="00137BAE">
        <w:rPr>
          <w:rFonts w:ascii="Times New Roman" w:hAnsi="Times New Roman" w:cs="Times New Roman"/>
          <w:sz w:val="24"/>
          <w:szCs w:val="24"/>
        </w:rPr>
        <w:t xml:space="preserve">, </w:t>
      </w:r>
      <w:r w:rsidR="00D12ABD" w:rsidRPr="00674F93">
        <w:rPr>
          <w:rFonts w:ascii="Times New Roman" w:hAnsi="Times New Roman" w:cs="Times New Roman"/>
          <w:sz w:val="24"/>
          <w:szCs w:val="24"/>
        </w:rPr>
        <w:t>where</w:t>
      </w:r>
      <w:r w:rsidR="00674F93">
        <w:rPr>
          <w:rFonts w:ascii="Times New Roman" w:hAnsi="Times New Roman" w:cs="Times New Roman"/>
          <w:sz w:val="24"/>
          <w:szCs w:val="24"/>
        </w:rPr>
        <w:t xml:space="preserve"> </w:t>
      </w:r>
      <w:proofErr w:type="spellStart"/>
      <w:r w:rsidR="00674F93">
        <w:rPr>
          <w:rFonts w:ascii="Times New Roman" w:hAnsi="Times New Roman" w:cs="Times New Roman"/>
          <w:i/>
          <w:sz w:val="24"/>
          <w:szCs w:val="24"/>
        </w:rPr>
        <w:t>h</w:t>
      </w:r>
      <w:r w:rsidR="00674F93">
        <w:rPr>
          <w:rFonts w:ascii="Times New Roman" w:hAnsi="Times New Roman" w:cs="Times New Roman"/>
          <w:i/>
          <w:sz w:val="24"/>
          <w:szCs w:val="24"/>
          <w:vertAlign w:val="subscript"/>
        </w:rPr>
        <w:t>t</w:t>
      </w:r>
      <w:proofErr w:type="spellEnd"/>
      <w:r w:rsidR="00674F93">
        <w:rPr>
          <w:rFonts w:ascii="Times New Roman" w:hAnsi="Times New Roman" w:cs="Times New Roman"/>
          <w:i/>
          <w:sz w:val="24"/>
          <w:szCs w:val="24"/>
          <w:vertAlign w:val="subscript"/>
        </w:rPr>
        <w:t xml:space="preserve"> </w:t>
      </w:r>
      <w:r w:rsidR="00674F93">
        <w:rPr>
          <w:rFonts w:ascii="Times New Roman" w:hAnsi="Times New Roman" w:cs="Times New Roman"/>
          <w:sz w:val="24"/>
          <w:szCs w:val="24"/>
        </w:rPr>
        <w:t xml:space="preserve">is the annual </w:t>
      </w:r>
      <w:r w:rsidR="00137BAE">
        <w:rPr>
          <w:rFonts w:ascii="Times New Roman" w:hAnsi="Times New Roman" w:cs="Times New Roman"/>
          <w:sz w:val="24"/>
          <w:szCs w:val="24"/>
        </w:rPr>
        <w:t>survival rate at each year</w:t>
      </w:r>
      <w:r w:rsidR="00674F93">
        <w:rPr>
          <w:rFonts w:ascii="Times New Roman" w:hAnsi="Times New Roman" w:cs="Times New Roman"/>
          <w:sz w:val="24"/>
          <w:szCs w:val="24"/>
        </w:rPr>
        <w:t xml:space="preserve">.  These cumulative survival rates are computed in columns J </w:t>
      </w:r>
      <w:r w:rsidR="000A46A6">
        <w:rPr>
          <w:rFonts w:ascii="Times New Roman" w:hAnsi="Times New Roman" w:cs="Times New Roman"/>
          <w:sz w:val="24"/>
          <w:szCs w:val="24"/>
        </w:rPr>
        <w:t>to</w:t>
      </w:r>
      <w:r w:rsidR="00674F93">
        <w:rPr>
          <w:rFonts w:ascii="Times New Roman" w:hAnsi="Times New Roman" w:cs="Times New Roman"/>
          <w:sz w:val="24"/>
          <w:szCs w:val="24"/>
        </w:rPr>
        <w:t xml:space="preserve"> AC of the “</w:t>
      </w:r>
      <w:proofErr w:type="spellStart"/>
      <w:r w:rsidR="00674F93">
        <w:rPr>
          <w:rFonts w:ascii="Times New Roman" w:hAnsi="Times New Roman" w:cs="Times New Roman"/>
          <w:sz w:val="24"/>
          <w:szCs w:val="24"/>
        </w:rPr>
        <w:t>GHR_RecidRates</w:t>
      </w:r>
      <w:proofErr w:type="spellEnd"/>
      <w:r w:rsidR="00674F93">
        <w:rPr>
          <w:rFonts w:ascii="Times New Roman" w:hAnsi="Times New Roman" w:cs="Times New Roman"/>
          <w:sz w:val="24"/>
          <w:szCs w:val="24"/>
        </w:rPr>
        <w:t>” and “</w:t>
      </w:r>
      <w:proofErr w:type="spellStart"/>
      <w:r w:rsidR="00674F93">
        <w:rPr>
          <w:rFonts w:ascii="Times New Roman" w:hAnsi="Times New Roman" w:cs="Times New Roman"/>
          <w:sz w:val="24"/>
          <w:szCs w:val="24"/>
        </w:rPr>
        <w:t>GHR_NS_RecidRates</w:t>
      </w:r>
      <w:proofErr w:type="spellEnd"/>
      <w:r w:rsidR="00674F93">
        <w:rPr>
          <w:rFonts w:ascii="Times New Roman" w:hAnsi="Times New Roman" w:cs="Times New Roman"/>
          <w:sz w:val="24"/>
          <w:szCs w:val="24"/>
        </w:rPr>
        <w:t xml:space="preserve">” tabs/worksheets.  </w:t>
      </w:r>
    </w:p>
    <w:p w14:paraId="0E8E4BEB" w14:textId="77777777" w:rsidR="005C3A22" w:rsidRDefault="005C3A22" w:rsidP="000A46A6">
      <w:pPr>
        <w:spacing w:after="0" w:line="240" w:lineRule="auto"/>
        <w:rPr>
          <w:rFonts w:ascii="Times New Roman" w:hAnsi="Times New Roman" w:cs="Times New Roman"/>
          <w:sz w:val="24"/>
          <w:szCs w:val="24"/>
        </w:rPr>
      </w:pPr>
    </w:p>
    <w:p w14:paraId="04033D55" w14:textId="77777777" w:rsidR="000A46A6" w:rsidRDefault="00674F93" w:rsidP="000A46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Specifically, J2 through J21 calculates the cumulative survival rate across years 1 through 20, or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1</m:t>
            </m:r>
          </m:sub>
          <m:sup>
            <m:r>
              <w:rPr>
                <w:rFonts w:ascii="Cambria Math" w:hAnsi="Cambria Math" w:cs="Times New Roman"/>
                <w:sz w:val="24"/>
                <w:szCs w:val="24"/>
              </w:rPr>
              <m:t>20</m:t>
            </m:r>
          </m:sup>
          <m:e>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t</m:t>
                    </m:r>
                  </m:sub>
                </m:sSub>
              </m:e>
            </m:d>
          </m:e>
        </m:nary>
      </m:oMath>
      <w:r w:rsidR="00137BAE">
        <w:rPr>
          <w:rFonts w:ascii="Times New Roman" w:hAnsi="Times New Roman" w:cs="Times New Roman"/>
          <w:sz w:val="24"/>
          <w:szCs w:val="24"/>
        </w:rPr>
        <w:t xml:space="preserve">; </w:t>
      </w:r>
      <w:proofErr w:type="spellStart"/>
      <w:r w:rsidR="000A46A6">
        <w:rPr>
          <w:rFonts w:ascii="Times New Roman" w:hAnsi="Times New Roman" w:cs="Times New Roman"/>
          <w:i/>
          <w:sz w:val="24"/>
          <w:szCs w:val="24"/>
        </w:rPr>
        <w:t>h</w:t>
      </w:r>
      <w:r w:rsidR="000A46A6" w:rsidRPr="000A46A6">
        <w:rPr>
          <w:rFonts w:ascii="Times New Roman" w:hAnsi="Times New Roman" w:cs="Times New Roman"/>
          <w:i/>
          <w:sz w:val="24"/>
          <w:szCs w:val="24"/>
          <w:vertAlign w:val="subscript"/>
        </w:rPr>
        <w:t>t</w:t>
      </w:r>
      <w:proofErr w:type="spellEnd"/>
      <w:r w:rsidR="000A46A6">
        <w:rPr>
          <w:rFonts w:ascii="Times New Roman" w:hAnsi="Times New Roman" w:cs="Times New Roman"/>
          <w:i/>
          <w:sz w:val="24"/>
          <w:szCs w:val="24"/>
          <w:vertAlign w:val="subscript"/>
        </w:rPr>
        <w:t xml:space="preserve"> </w:t>
      </w:r>
      <w:r w:rsidR="000A46A6">
        <w:rPr>
          <w:rFonts w:ascii="Times New Roman" w:hAnsi="Times New Roman" w:cs="Times New Roman"/>
          <w:sz w:val="24"/>
          <w:szCs w:val="24"/>
        </w:rPr>
        <w:t xml:space="preserve">is the survival rate for each year (shown in column E).  This survival rate is </w:t>
      </w:r>
      <w:r w:rsidR="000A46A6">
        <w:rPr>
          <w:rFonts w:ascii="Times New Roman" w:hAnsi="Times New Roman" w:cs="Times New Roman"/>
          <w:sz w:val="24"/>
          <w:szCs w:val="24"/>
        </w:rPr>
        <w:lastRenderedPageBreak/>
        <w:t xml:space="preserve">equivalent to the cumulative </w:t>
      </w:r>
      <w:r w:rsidR="005C3A22">
        <w:rPr>
          <w:rFonts w:ascii="Times New Roman" w:hAnsi="Times New Roman" w:cs="Times New Roman"/>
          <w:sz w:val="24"/>
          <w:szCs w:val="24"/>
        </w:rPr>
        <w:t>survival r</w:t>
      </w:r>
      <w:r w:rsidR="000A46A6">
        <w:rPr>
          <w:rFonts w:ascii="Times New Roman" w:hAnsi="Times New Roman" w:cs="Times New Roman"/>
          <w:sz w:val="24"/>
          <w:szCs w:val="24"/>
        </w:rPr>
        <w:t>ate across 20 years</w:t>
      </w:r>
      <w:r w:rsidR="00137BAE">
        <w:rPr>
          <w:rFonts w:ascii="Times New Roman" w:hAnsi="Times New Roman" w:cs="Times New Roman"/>
          <w:sz w:val="24"/>
          <w:szCs w:val="24"/>
        </w:rPr>
        <w:t xml:space="preserve"> (</w:t>
      </w:r>
      <w:r w:rsidR="000A46A6">
        <w:rPr>
          <w:rFonts w:ascii="Times New Roman" w:hAnsi="Times New Roman" w:cs="Times New Roman"/>
          <w:sz w:val="24"/>
          <w:szCs w:val="24"/>
        </w:rPr>
        <w:t>shown in c</w:t>
      </w:r>
      <w:r w:rsidR="005C3A22">
        <w:rPr>
          <w:rFonts w:ascii="Times New Roman" w:hAnsi="Times New Roman" w:cs="Times New Roman"/>
          <w:sz w:val="24"/>
          <w:szCs w:val="24"/>
        </w:rPr>
        <w:t>ell</w:t>
      </w:r>
      <w:r w:rsidR="00AA7BFD">
        <w:rPr>
          <w:rFonts w:ascii="Times New Roman" w:hAnsi="Times New Roman" w:cs="Times New Roman"/>
          <w:sz w:val="24"/>
          <w:szCs w:val="24"/>
        </w:rPr>
        <w:t>s</w:t>
      </w:r>
      <w:r w:rsidR="005C3A22">
        <w:rPr>
          <w:rFonts w:ascii="Times New Roman" w:hAnsi="Times New Roman" w:cs="Times New Roman"/>
          <w:sz w:val="24"/>
          <w:szCs w:val="24"/>
        </w:rPr>
        <w:t xml:space="preserve"> F21</w:t>
      </w:r>
      <w:r w:rsidR="00AA7BFD">
        <w:rPr>
          <w:rFonts w:ascii="Times New Roman" w:hAnsi="Times New Roman" w:cs="Times New Roman"/>
          <w:sz w:val="24"/>
          <w:szCs w:val="24"/>
        </w:rPr>
        <w:t xml:space="preserve"> and J21</w:t>
      </w:r>
      <w:r w:rsidR="00137BAE">
        <w:rPr>
          <w:rFonts w:ascii="Times New Roman" w:hAnsi="Times New Roman" w:cs="Times New Roman"/>
          <w:sz w:val="24"/>
          <w:szCs w:val="24"/>
        </w:rPr>
        <w:t>)</w:t>
      </w:r>
      <w:r w:rsidR="005C3A22">
        <w:rPr>
          <w:rFonts w:ascii="Times New Roman" w:hAnsi="Times New Roman" w:cs="Times New Roman"/>
          <w:sz w:val="24"/>
          <w:szCs w:val="24"/>
        </w:rPr>
        <w:t xml:space="preserve">, </w:t>
      </w:r>
      <w:r w:rsidR="00AA7BFD">
        <w:rPr>
          <w:rFonts w:ascii="Times New Roman" w:hAnsi="Times New Roman" w:cs="Times New Roman"/>
          <w:sz w:val="24"/>
          <w:szCs w:val="24"/>
        </w:rPr>
        <w:t xml:space="preserve">and </w:t>
      </w:r>
      <w:r w:rsidR="00043ED0">
        <w:rPr>
          <w:rFonts w:ascii="Times New Roman" w:hAnsi="Times New Roman" w:cs="Times New Roman"/>
          <w:sz w:val="24"/>
          <w:szCs w:val="24"/>
        </w:rPr>
        <w:t xml:space="preserve">is </w:t>
      </w:r>
      <w:r w:rsidR="005C3A22">
        <w:rPr>
          <w:rFonts w:ascii="Times New Roman" w:hAnsi="Times New Roman" w:cs="Times New Roman"/>
          <w:sz w:val="24"/>
          <w:szCs w:val="24"/>
        </w:rPr>
        <w:t xml:space="preserve">used to compute the </w:t>
      </w:r>
      <w:r w:rsidR="00116F44">
        <w:rPr>
          <w:rFonts w:ascii="Times New Roman" w:hAnsi="Times New Roman" w:cs="Times New Roman"/>
          <w:sz w:val="24"/>
          <w:szCs w:val="24"/>
        </w:rPr>
        <w:t>20-year (</w:t>
      </w:r>
      <w:r w:rsidR="00043ED0">
        <w:rPr>
          <w:rFonts w:ascii="Times New Roman" w:hAnsi="Times New Roman" w:cs="Times New Roman"/>
          <w:sz w:val="24"/>
          <w:szCs w:val="24"/>
        </w:rPr>
        <w:t>lifetime) survival rate shown in G21)</w:t>
      </w:r>
      <w:r w:rsidR="000A46A6">
        <w:rPr>
          <w:rFonts w:ascii="Times New Roman" w:hAnsi="Times New Roman" w:cs="Times New Roman"/>
          <w:sz w:val="24"/>
          <w:szCs w:val="24"/>
        </w:rPr>
        <w:t xml:space="preserve">. </w:t>
      </w:r>
    </w:p>
    <w:p w14:paraId="0B5499E2" w14:textId="77777777" w:rsidR="000A46A6" w:rsidRDefault="000A46A6" w:rsidP="000A46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7A028D3" w14:textId="77777777" w:rsidR="00D12ABD" w:rsidRPr="00AA7BFD" w:rsidRDefault="000A46A6" w:rsidP="000A46A6">
      <w:pPr>
        <w:spacing w:after="0" w:line="240" w:lineRule="auto"/>
        <w:rPr>
          <w:rFonts w:ascii="Times New Roman" w:hAnsi="Times New Roman" w:cs="Times New Roman"/>
          <w:sz w:val="24"/>
          <w:szCs w:val="24"/>
        </w:rPr>
      </w:pPr>
      <w:r>
        <w:rPr>
          <w:rFonts w:ascii="Times New Roman" w:hAnsi="Times New Roman" w:cs="Times New Roman"/>
          <w:sz w:val="24"/>
          <w:szCs w:val="24"/>
        </w:rPr>
        <w:t>Residual risk</w:t>
      </w:r>
      <w:r w:rsidR="00043ED0">
        <w:rPr>
          <w:rFonts w:ascii="Times New Roman" w:hAnsi="Times New Roman" w:cs="Times New Roman"/>
          <w:sz w:val="24"/>
          <w:szCs w:val="24"/>
        </w:rPr>
        <w:t>s of</w:t>
      </w:r>
      <w:r>
        <w:rPr>
          <w:rFonts w:ascii="Times New Roman" w:hAnsi="Times New Roman" w:cs="Times New Roman"/>
          <w:sz w:val="24"/>
          <w:szCs w:val="24"/>
        </w:rPr>
        <w:t xml:space="preserve"> reoffending among in</w:t>
      </w:r>
      <w:r w:rsidR="00137BAE">
        <w:rPr>
          <w:rFonts w:ascii="Times New Roman" w:hAnsi="Times New Roman" w:cs="Times New Roman"/>
          <w:sz w:val="24"/>
          <w:szCs w:val="24"/>
        </w:rPr>
        <w:t>dividuals who do not reoffend during</w:t>
      </w:r>
      <w:r>
        <w:rPr>
          <w:rFonts w:ascii="Times New Roman" w:hAnsi="Times New Roman" w:cs="Times New Roman"/>
          <w:sz w:val="24"/>
          <w:szCs w:val="24"/>
        </w:rPr>
        <w:t xml:space="preserve"> the </w:t>
      </w:r>
      <w:r w:rsidRPr="000A46A6">
        <w:rPr>
          <w:rFonts w:ascii="Times New Roman" w:hAnsi="Times New Roman" w:cs="Times New Roman"/>
          <w:i/>
          <w:sz w:val="24"/>
          <w:szCs w:val="24"/>
        </w:rPr>
        <w:t>1</w:t>
      </w:r>
      <w:r w:rsidRPr="000A46A6">
        <w:rPr>
          <w:rFonts w:ascii="Times New Roman" w:hAnsi="Times New Roman" w:cs="Times New Roman"/>
          <w:i/>
          <w:sz w:val="24"/>
          <w:szCs w:val="24"/>
          <w:vertAlign w:val="superscript"/>
        </w:rPr>
        <w:t>st</w:t>
      </w:r>
      <w:r w:rsidRPr="000A46A6">
        <w:rPr>
          <w:rFonts w:ascii="Times New Roman" w:hAnsi="Times New Roman" w:cs="Times New Roman"/>
          <w:i/>
          <w:sz w:val="24"/>
          <w:szCs w:val="24"/>
        </w:rPr>
        <w:t>, 2</w:t>
      </w:r>
      <w:r w:rsidRPr="000A46A6">
        <w:rPr>
          <w:rFonts w:ascii="Times New Roman" w:hAnsi="Times New Roman" w:cs="Times New Roman"/>
          <w:i/>
          <w:sz w:val="24"/>
          <w:szCs w:val="24"/>
          <w:vertAlign w:val="superscript"/>
        </w:rPr>
        <w:t>nd</w:t>
      </w:r>
      <w:r w:rsidRPr="000A46A6">
        <w:rPr>
          <w:rFonts w:ascii="Times New Roman" w:hAnsi="Times New Roman" w:cs="Times New Roman"/>
          <w:i/>
          <w:sz w:val="24"/>
          <w:szCs w:val="24"/>
        </w:rPr>
        <w:t xml:space="preserve">, … </w:t>
      </w:r>
      <w:r w:rsidR="00137BAE">
        <w:rPr>
          <w:rFonts w:ascii="Times New Roman" w:hAnsi="Times New Roman" w:cs="Times New Roman"/>
          <w:i/>
          <w:sz w:val="24"/>
          <w:szCs w:val="24"/>
        </w:rPr>
        <w:t>19</w:t>
      </w:r>
      <w:r w:rsidRPr="000A46A6">
        <w:rPr>
          <w:rFonts w:ascii="Times New Roman" w:hAnsi="Times New Roman" w:cs="Times New Roman"/>
          <w:i/>
          <w:sz w:val="24"/>
          <w:szCs w:val="24"/>
          <w:vertAlign w:val="superscript"/>
        </w:rPr>
        <w:t>th</w:t>
      </w:r>
      <w:r>
        <w:rPr>
          <w:rFonts w:ascii="Times New Roman" w:hAnsi="Times New Roman" w:cs="Times New Roman"/>
          <w:sz w:val="24"/>
          <w:szCs w:val="24"/>
        </w:rPr>
        <w:t xml:space="preserve"> year</w:t>
      </w:r>
      <w:r w:rsidR="00043ED0">
        <w:rPr>
          <w:rFonts w:ascii="Times New Roman" w:hAnsi="Times New Roman" w:cs="Times New Roman"/>
          <w:sz w:val="24"/>
          <w:szCs w:val="24"/>
        </w:rPr>
        <w:t xml:space="preserve"> of being free in the community </w:t>
      </w:r>
      <w:r>
        <w:rPr>
          <w:rFonts w:ascii="Times New Roman" w:hAnsi="Times New Roman" w:cs="Times New Roman"/>
          <w:sz w:val="24"/>
          <w:szCs w:val="24"/>
        </w:rPr>
        <w:t xml:space="preserve">are </w:t>
      </w:r>
      <w:r w:rsidR="00043ED0">
        <w:rPr>
          <w:rFonts w:ascii="Times New Roman" w:hAnsi="Times New Roman" w:cs="Times New Roman"/>
          <w:sz w:val="24"/>
          <w:szCs w:val="24"/>
        </w:rPr>
        <w:t xml:space="preserve">correspondingly </w:t>
      </w:r>
      <w:r>
        <w:rPr>
          <w:rFonts w:ascii="Times New Roman" w:hAnsi="Times New Roman" w:cs="Times New Roman"/>
          <w:sz w:val="24"/>
          <w:szCs w:val="24"/>
        </w:rPr>
        <w:t xml:space="preserve">calculated in columns K through AC.  For example, the cumulative survival </w:t>
      </w:r>
      <w:r w:rsidR="00D754C1">
        <w:rPr>
          <w:rFonts w:ascii="Times New Roman" w:hAnsi="Times New Roman" w:cs="Times New Roman"/>
          <w:sz w:val="24"/>
          <w:szCs w:val="24"/>
        </w:rPr>
        <w:t>rate of</w:t>
      </w:r>
      <w:r>
        <w:rPr>
          <w:rFonts w:ascii="Times New Roman" w:hAnsi="Times New Roman" w:cs="Times New Roman"/>
          <w:sz w:val="24"/>
          <w:szCs w:val="24"/>
        </w:rPr>
        <w:t xml:space="preserve"> </w:t>
      </w:r>
      <w:r w:rsidR="00D754C1">
        <w:rPr>
          <w:rFonts w:ascii="Times New Roman" w:hAnsi="Times New Roman" w:cs="Times New Roman"/>
          <w:sz w:val="24"/>
          <w:szCs w:val="24"/>
        </w:rPr>
        <w:t>individuals who do not reoffend in the 1</w:t>
      </w:r>
      <w:r w:rsidR="00D754C1" w:rsidRPr="00D754C1">
        <w:rPr>
          <w:rFonts w:ascii="Times New Roman" w:hAnsi="Times New Roman" w:cs="Times New Roman"/>
          <w:sz w:val="24"/>
          <w:szCs w:val="24"/>
          <w:vertAlign w:val="superscript"/>
        </w:rPr>
        <w:t>st</w:t>
      </w:r>
      <w:r w:rsidR="00D754C1">
        <w:rPr>
          <w:rFonts w:ascii="Times New Roman" w:hAnsi="Times New Roman" w:cs="Times New Roman"/>
          <w:sz w:val="24"/>
          <w:szCs w:val="24"/>
        </w:rPr>
        <w:t xml:space="preserve"> year is calculated in column K</w:t>
      </w:r>
      <w:r w:rsidR="00043ED0">
        <w:rPr>
          <w:rFonts w:ascii="Times New Roman" w:hAnsi="Times New Roman" w:cs="Times New Roman"/>
          <w:sz w:val="24"/>
          <w:szCs w:val="24"/>
        </w:rPr>
        <w:t xml:space="preserve">.  </w:t>
      </w:r>
      <w:r w:rsidR="00AA7BFD">
        <w:rPr>
          <w:rFonts w:ascii="Times New Roman" w:hAnsi="Times New Roman" w:cs="Times New Roman"/>
          <w:sz w:val="24"/>
          <w:szCs w:val="24"/>
        </w:rPr>
        <w:t>Cells K3 through K21</w:t>
      </w:r>
      <w:r w:rsidR="00EC76F8">
        <w:rPr>
          <w:rFonts w:ascii="Times New Roman" w:hAnsi="Times New Roman" w:cs="Times New Roman"/>
          <w:sz w:val="24"/>
          <w:szCs w:val="24"/>
        </w:rPr>
        <w:t xml:space="preserve"> </w:t>
      </w:r>
      <w:r w:rsidR="00AA7BFD">
        <w:rPr>
          <w:rFonts w:ascii="Times New Roman" w:hAnsi="Times New Roman" w:cs="Times New Roman"/>
          <w:sz w:val="24"/>
          <w:szCs w:val="24"/>
        </w:rPr>
        <w:t xml:space="preserve">compute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2</m:t>
            </m:r>
          </m:sub>
          <m:sup>
            <m:r>
              <w:rPr>
                <w:rFonts w:ascii="Cambria Math" w:hAnsi="Cambria Math" w:cs="Times New Roman"/>
                <w:sz w:val="24"/>
                <w:szCs w:val="24"/>
              </w:rPr>
              <m:t>20</m:t>
            </m:r>
          </m:sup>
          <m:e>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t</m:t>
                    </m:r>
                  </m:sub>
                </m:sSub>
              </m:e>
            </m:d>
          </m:e>
        </m:nary>
      </m:oMath>
      <w:r w:rsidR="00AA7BFD">
        <w:rPr>
          <w:rFonts w:ascii="Times New Roman" w:hAnsi="Times New Roman" w:cs="Times New Roman"/>
          <w:sz w:val="24"/>
          <w:szCs w:val="24"/>
        </w:rPr>
        <w:t xml:space="preserve">, ignoring the </w:t>
      </w:r>
      <w:r w:rsidR="00D754C1">
        <w:rPr>
          <w:rFonts w:ascii="Times New Roman" w:hAnsi="Times New Roman" w:cs="Times New Roman"/>
          <w:sz w:val="24"/>
          <w:szCs w:val="24"/>
        </w:rPr>
        <w:t xml:space="preserve">hazard associated with year 1 </w:t>
      </w:r>
      <w:r w:rsidR="00AA7BFD">
        <w:rPr>
          <w:rFonts w:ascii="Times New Roman" w:hAnsi="Times New Roman" w:cs="Times New Roman"/>
          <w:sz w:val="24"/>
          <w:szCs w:val="24"/>
        </w:rPr>
        <w:t xml:space="preserve">since it </w:t>
      </w:r>
      <w:r w:rsidR="00D754C1">
        <w:rPr>
          <w:rFonts w:ascii="Times New Roman" w:hAnsi="Times New Roman" w:cs="Times New Roman"/>
          <w:sz w:val="24"/>
          <w:szCs w:val="24"/>
        </w:rPr>
        <w:t>is no</w:t>
      </w:r>
      <w:r w:rsidR="00043ED0">
        <w:rPr>
          <w:rFonts w:ascii="Times New Roman" w:hAnsi="Times New Roman" w:cs="Times New Roman"/>
          <w:sz w:val="24"/>
          <w:szCs w:val="24"/>
        </w:rPr>
        <w:t>t relevant to</w:t>
      </w:r>
      <w:r w:rsidR="00D754C1">
        <w:rPr>
          <w:rFonts w:ascii="Times New Roman" w:hAnsi="Times New Roman" w:cs="Times New Roman"/>
          <w:sz w:val="24"/>
          <w:szCs w:val="24"/>
        </w:rPr>
        <w:t xml:space="preserve"> individuals </w:t>
      </w:r>
      <w:r w:rsidR="00043ED0">
        <w:rPr>
          <w:rFonts w:ascii="Times New Roman" w:hAnsi="Times New Roman" w:cs="Times New Roman"/>
          <w:sz w:val="24"/>
          <w:szCs w:val="24"/>
        </w:rPr>
        <w:t xml:space="preserve">who </w:t>
      </w:r>
      <w:r w:rsidR="00D754C1">
        <w:rPr>
          <w:rFonts w:ascii="Times New Roman" w:hAnsi="Times New Roman" w:cs="Times New Roman"/>
          <w:sz w:val="24"/>
          <w:szCs w:val="24"/>
        </w:rPr>
        <w:t>surviv</w:t>
      </w:r>
      <w:r w:rsidR="00043ED0">
        <w:rPr>
          <w:rFonts w:ascii="Times New Roman" w:hAnsi="Times New Roman" w:cs="Times New Roman"/>
          <w:sz w:val="24"/>
          <w:szCs w:val="24"/>
        </w:rPr>
        <w:t>e</w:t>
      </w:r>
      <w:r w:rsidR="00D754C1">
        <w:rPr>
          <w:rFonts w:ascii="Times New Roman" w:hAnsi="Times New Roman" w:cs="Times New Roman"/>
          <w:sz w:val="24"/>
          <w:szCs w:val="24"/>
        </w:rPr>
        <w:t xml:space="preserve"> the first year</w:t>
      </w:r>
      <w:r w:rsidR="00EC76F8">
        <w:rPr>
          <w:rFonts w:ascii="Times New Roman" w:hAnsi="Times New Roman" w:cs="Times New Roman"/>
          <w:sz w:val="24"/>
          <w:szCs w:val="24"/>
        </w:rPr>
        <w:t xml:space="preserve"> without reoffending</w:t>
      </w:r>
      <w:r w:rsidR="00D754C1">
        <w:rPr>
          <w:rFonts w:ascii="Times New Roman" w:hAnsi="Times New Roman" w:cs="Times New Roman"/>
          <w:sz w:val="24"/>
          <w:szCs w:val="24"/>
        </w:rPr>
        <w:t xml:space="preserve">.  Similarly, the cumulative survival rates of individuals </w:t>
      </w:r>
      <w:r w:rsidR="00E5407F">
        <w:rPr>
          <w:rFonts w:ascii="Times New Roman" w:hAnsi="Times New Roman" w:cs="Times New Roman"/>
          <w:sz w:val="24"/>
          <w:szCs w:val="24"/>
        </w:rPr>
        <w:t xml:space="preserve">who </w:t>
      </w:r>
      <w:r w:rsidR="00AA7BFD">
        <w:rPr>
          <w:rFonts w:ascii="Times New Roman" w:hAnsi="Times New Roman" w:cs="Times New Roman"/>
          <w:sz w:val="24"/>
          <w:szCs w:val="24"/>
        </w:rPr>
        <w:t xml:space="preserve">successfully </w:t>
      </w:r>
      <w:r w:rsidR="00D754C1">
        <w:rPr>
          <w:rFonts w:ascii="Times New Roman" w:hAnsi="Times New Roman" w:cs="Times New Roman"/>
          <w:sz w:val="24"/>
          <w:szCs w:val="24"/>
        </w:rPr>
        <w:t>enter years 3 through 19 are computed in columns L through AC</w:t>
      </w:r>
      <w:r w:rsidR="00EC76F8" w:rsidRPr="00EC76F8">
        <w:rPr>
          <w:rFonts w:ascii="Times New Roman" w:hAnsi="Times New Roman" w:cs="Times New Roman"/>
          <w:sz w:val="24"/>
          <w:szCs w:val="24"/>
        </w:rPr>
        <w:t xml:space="preserve"> </w:t>
      </w:r>
      <w:r w:rsidR="00EC76F8">
        <w:rPr>
          <w:rFonts w:ascii="Times New Roman" w:hAnsi="Times New Roman" w:cs="Times New Roman"/>
          <w:sz w:val="24"/>
          <w:szCs w:val="24"/>
        </w:rPr>
        <w:t>[</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3</m:t>
            </m:r>
          </m:sub>
          <m:sup>
            <m:r>
              <w:rPr>
                <w:rFonts w:ascii="Cambria Math" w:hAnsi="Cambria Math" w:cs="Times New Roman"/>
                <w:sz w:val="24"/>
                <w:szCs w:val="24"/>
              </w:rPr>
              <m:t>20</m:t>
            </m:r>
          </m:sup>
          <m:e>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t</m:t>
                    </m:r>
                  </m:sub>
                </m:sSub>
              </m:e>
            </m:d>
          </m:e>
        </m:nary>
      </m:oMath>
      <w:r w:rsidR="00EC76F8">
        <w:rPr>
          <w:rFonts w:ascii="Times New Roman" w:hAnsi="Times New Roman" w:cs="Times New Roman"/>
          <w:sz w:val="24"/>
          <w:szCs w:val="24"/>
        </w:rPr>
        <w:t>,</w:t>
      </w:r>
      <m:oMath>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4</m:t>
            </m:r>
          </m:sub>
          <m:sup>
            <m:r>
              <w:rPr>
                <w:rFonts w:ascii="Cambria Math" w:hAnsi="Cambria Math" w:cs="Times New Roman"/>
                <w:sz w:val="24"/>
                <w:szCs w:val="24"/>
              </w:rPr>
              <m:t>20</m:t>
            </m:r>
          </m:sup>
          <m:e>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t</m:t>
                    </m:r>
                  </m:sub>
                </m:sSub>
              </m:e>
            </m:d>
          </m:e>
        </m:nary>
      </m:oMath>
      <w:r w:rsidR="00EC76F8">
        <w:rPr>
          <w:rFonts w:ascii="Times New Roman" w:hAnsi="Times New Roman" w:cs="Times New Roman"/>
          <w:sz w:val="24"/>
          <w:szCs w:val="24"/>
        </w:rPr>
        <w:t>, …</w:t>
      </w:r>
      <m:oMath>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19</m:t>
            </m:r>
          </m:sub>
          <m:sup>
            <m:r>
              <w:rPr>
                <w:rFonts w:ascii="Cambria Math" w:hAnsi="Cambria Math" w:cs="Times New Roman"/>
                <w:sz w:val="24"/>
                <w:szCs w:val="24"/>
              </w:rPr>
              <m:t>20</m:t>
            </m:r>
          </m:sup>
          <m:e>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t</m:t>
                    </m:r>
                  </m:sub>
                </m:sSub>
              </m:e>
            </m:d>
          </m:e>
        </m:nary>
        <m:r>
          <w:rPr>
            <w:rFonts w:ascii="Cambria Math" w:hAnsi="Cambria Math" w:cs="Times New Roman"/>
            <w:sz w:val="24"/>
            <w:szCs w:val="24"/>
          </w:rPr>
          <m:t>]</m:t>
        </m:r>
      </m:oMath>
      <w:r w:rsidR="00EC76F8">
        <w:rPr>
          <w:rFonts w:ascii="Times New Roman" w:hAnsi="Times New Roman" w:cs="Times New Roman"/>
          <w:sz w:val="24"/>
          <w:szCs w:val="24"/>
        </w:rPr>
        <w:t>.</w:t>
      </w:r>
      <w:r w:rsidR="00E5407F">
        <w:rPr>
          <w:rFonts w:ascii="Times New Roman" w:hAnsi="Times New Roman" w:cs="Times New Roman"/>
          <w:sz w:val="24"/>
          <w:szCs w:val="24"/>
        </w:rPr>
        <w:t xml:space="preserve">  These calculations </w:t>
      </w:r>
      <w:r w:rsidR="00AA7BFD">
        <w:rPr>
          <w:rFonts w:ascii="Times New Roman" w:hAnsi="Times New Roman" w:cs="Times New Roman"/>
          <w:sz w:val="24"/>
          <w:szCs w:val="24"/>
        </w:rPr>
        <w:t xml:space="preserve">represent </w:t>
      </w:r>
      <w:r w:rsidR="00610DE8">
        <w:rPr>
          <w:rFonts w:ascii="Times New Roman" w:hAnsi="Times New Roman" w:cs="Times New Roman"/>
          <w:sz w:val="24"/>
          <w:szCs w:val="24"/>
        </w:rPr>
        <w:t xml:space="preserve">the </w:t>
      </w:r>
      <w:r w:rsidR="00D754C1">
        <w:rPr>
          <w:rFonts w:ascii="Times New Roman" w:hAnsi="Times New Roman" w:cs="Times New Roman"/>
          <w:sz w:val="24"/>
          <w:szCs w:val="24"/>
        </w:rPr>
        <w:t xml:space="preserve">residual risks remaining </w:t>
      </w:r>
      <w:r w:rsidR="00610DE8">
        <w:rPr>
          <w:rFonts w:ascii="Times New Roman" w:hAnsi="Times New Roman" w:cs="Times New Roman"/>
          <w:sz w:val="24"/>
          <w:szCs w:val="24"/>
        </w:rPr>
        <w:t xml:space="preserve">for individuals entering </w:t>
      </w:r>
      <w:r w:rsidR="00E5407F">
        <w:rPr>
          <w:rFonts w:ascii="Times New Roman" w:hAnsi="Times New Roman" w:cs="Times New Roman"/>
          <w:sz w:val="24"/>
          <w:szCs w:val="24"/>
        </w:rPr>
        <w:t xml:space="preserve">each </w:t>
      </w:r>
      <w:r w:rsidR="00610DE8">
        <w:rPr>
          <w:rFonts w:ascii="Times New Roman" w:hAnsi="Times New Roman" w:cs="Times New Roman"/>
          <w:sz w:val="24"/>
          <w:szCs w:val="24"/>
        </w:rPr>
        <w:t xml:space="preserve">subsequent </w:t>
      </w:r>
      <w:r w:rsidR="00E5407F">
        <w:rPr>
          <w:rFonts w:ascii="Times New Roman" w:hAnsi="Times New Roman" w:cs="Times New Roman"/>
          <w:sz w:val="24"/>
          <w:szCs w:val="24"/>
        </w:rPr>
        <w:t xml:space="preserve">follow-up </w:t>
      </w:r>
      <w:r w:rsidR="00EC76F8">
        <w:rPr>
          <w:rFonts w:ascii="Times New Roman" w:hAnsi="Times New Roman" w:cs="Times New Roman"/>
          <w:sz w:val="24"/>
          <w:szCs w:val="24"/>
        </w:rPr>
        <w:t>year through year 19</w:t>
      </w:r>
      <w:r w:rsidR="00EB5437">
        <w:rPr>
          <w:rFonts w:ascii="Times New Roman" w:hAnsi="Times New Roman" w:cs="Times New Roman"/>
          <w:sz w:val="24"/>
          <w:szCs w:val="24"/>
        </w:rPr>
        <w:t xml:space="preserve"> under the assumption that the residual risk for individuals entering year 20 without sexually reoffending is 0</w:t>
      </w:r>
      <w:r w:rsidR="00D754C1">
        <w:rPr>
          <w:rFonts w:ascii="Times New Roman" w:hAnsi="Times New Roman" w:cs="Times New Roman"/>
          <w:sz w:val="24"/>
          <w:szCs w:val="24"/>
        </w:rPr>
        <w:t>.</w:t>
      </w:r>
      <w:r w:rsidR="00AA7BFD">
        <w:rPr>
          <w:rFonts w:ascii="Times New Roman" w:hAnsi="Times New Roman" w:cs="Times New Roman"/>
          <w:sz w:val="24"/>
          <w:szCs w:val="24"/>
        </w:rPr>
        <w:t xml:space="preserve">  </w:t>
      </w:r>
      <w:r w:rsidR="00E5407F">
        <w:rPr>
          <w:rFonts w:ascii="Times New Roman" w:hAnsi="Times New Roman" w:cs="Times New Roman"/>
          <w:sz w:val="24"/>
          <w:szCs w:val="24"/>
        </w:rPr>
        <w:t xml:space="preserve">   </w:t>
      </w:r>
    </w:p>
    <w:p w14:paraId="664B098E" w14:textId="77777777" w:rsidR="00D12ABD" w:rsidRDefault="00D12ABD" w:rsidP="000A46A6">
      <w:pPr>
        <w:spacing w:after="0" w:line="240" w:lineRule="auto"/>
        <w:rPr>
          <w:rFonts w:ascii="Times New Roman" w:hAnsi="Times New Roman" w:cs="Times New Roman"/>
          <w:sz w:val="24"/>
          <w:szCs w:val="24"/>
        </w:rPr>
      </w:pPr>
    </w:p>
    <w:p w14:paraId="67BA83CB" w14:textId="77777777" w:rsidR="00910B84" w:rsidRDefault="00610DE8"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Subtracting the cumulative survival rate across all 20 years</w:t>
      </w:r>
      <w:r w:rsidR="00EC76F8">
        <w:rPr>
          <w:rFonts w:ascii="Times New Roman" w:hAnsi="Times New Roman" w:cs="Times New Roman"/>
          <w:sz w:val="24"/>
          <w:szCs w:val="24"/>
        </w:rPr>
        <w:t xml:space="preserve"> (</w:t>
      </w:r>
      <w:r>
        <w:rPr>
          <w:rFonts w:ascii="Times New Roman" w:hAnsi="Times New Roman" w:cs="Times New Roman"/>
          <w:sz w:val="24"/>
          <w:szCs w:val="24"/>
        </w:rPr>
        <w:t>cell J21 of the “</w:t>
      </w:r>
      <w:proofErr w:type="spellStart"/>
      <w:r>
        <w:rPr>
          <w:rFonts w:ascii="Times New Roman" w:hAnsi="Times New Roman" w:cs="Times New Roman"/>
          <w:sz w:val="24"/>
          <w:szCs w:val="24"/>
        </w:rPr>
        <w:t>GHR_RecidRates</w:t>
      </w:r>
      <w:proofErr w:type="spellEnd"/>
      <w:r>
        <w:rPr>
          <w:rFonts w:ascii="Times New Roman" w:hAnsi="Times New Roman" w:cs="Times New Roman"/>
          <w:sz w:val="24"/>
          <w:szCs w:val="24"/>
        </w:rPr>
        <w:t>” and “</w:t>
      </w:r>
      <w:proofErr w:type="spellStart"/>
      <w:r>
        <w:rPr>
          <w:rFonts w:ascii="Times New Roman" w:hAnsi="Times New Roman" w:cs="Times New Roman"/>
          <w:sz w:val="24"/>
          <w:szCs w:val="24"/>
        </w:rPr>
        <w:t>GHR</w:t>
      </w:r>
      <w:r w:rsidR="00EC76F8">
        <w:rPr>
          <w:rFonts w:ascii="Times New Roman" w:hAnsi="Times New Roman" w:cs="Times New Roman"/>
          <w:sz w:val="24"/>
          <w:szCs w:val="24"/>
        </w:rPr>
        <w:t>_NS_RecidRates</w:t>
      </w:r>
      <w:proofErr w:type="spellEnd"/>
      <w:r w:rsidR="00EC76F8">
        <w:rPr>
          <w:rFonts w:ascii="Times New Roman" w:hAnsi="Times New Roman" w:cs="Times New Roman"/>
          <w:sz w:val="24"/>
          <w:szCs w:val="24"/>
        </w:rPr>
        <w:t>” tabs/worksheets)</w:t>
      </w:r>
      <w:r>
        <w:rPr>
          <w:rFonts w:ascii="Times New Roman" w:hAnsi="Times New Roman" w:cs="Times New Roman"/>
          <w:sz w:val="24"/>
          <w:szCs w:val="24"/>
        </w:rPr>
        <w:t xml:space="preserve"> from 1 provides the lifetime risk for an individual, </w:t>
      </w:r>
      <w:r w:rsidR="00EC76F8">
        <w:rPr>
          <w:rFonts w:ascii="Times New Roman" w:hAnsi="Times New Roman" w:cs="Times New Roman"/>
          <w:sz w:val="24"/>
          <w:szCs w:val="24"/>
        </w:rPr>
        <w:t xml:space="preserve">which is copied to </w:t>
      </w:r>
      <w:r w:rsidR="007A6CCC">
        <w:rPr>
          <w:rFonts w:ascii="Times New Roman" w:hAnsi="Times New Roman" w:cs="Times New Roman"/>
          <w:sz w:val="24"/>
          <w:szCs w:val="24"/>
        </w:rPr>
        <w:t>cell</w:t>
      </w:r>
      <w:r w:rsidR="00910B84">
        <w:rPr>
          <w:rFonts w:ascii="Times New Roman" w:hAnsi="Times New Roman" w:cs="Times New Roman"/>
          <w:sz w:val="24"/>
          <w:szCs w:val="24"/>
        </w:rPr>
        <w:t xml:space="preserve"> J</w:t>
      </w:r>
      <w:r w:rsidR="000D7FBA">
        <w:rPr>
          <w:rFonts w:ascii="Times New Roman" w:hAnsi="Times New Roman" w:cs="Times New Roman"/>
          <w:sz w:val="24"/>
          <w:szCs w:val="24"/>
        </w:rPr>
        <w:t xml:space="preserve">5 of the </w:t>
      </w:r>
      <w:r>
        <w:rPr>
          <w:rFonts w:ascii="Times New Roman" w:hAnsi="Times New Roman" w:cs="Times New Roman"/>
          <w:sz w:val="24"/>
          <w:szCs w:val="24"/>
        </w:rPr>
        <w:t>“</w:t>
      </w:r>
      <w:r w:rsidR="000D7FBA">
        <w:rPr>
          <w:rFonts w:ascii="Times New Roman" w:hAnsi="Times New Roman" w:cs="Times New Roman"/>
          <w:sz w:val="24"/>
          <w:szCs w:val="24"/>
        </w:rPr>
        <w:t>Calculator</w:t>
      </w:r>
      <w:r>
        <w:rPr>
          <w:rFonts w:ascii="Times New Roman" w:hAnsi="Times New Roman" w:cs="Times New Roman"/>
          <w:sz w:val="24"/>
          <w:szCs w:val="24"/>
        </w:rPr>
        <w:t>”</w:t>
      </w:r>
      <w:r w:rsidR="000D7FBA">
        <w:rPr>
          <w:rFonts w:ascii="Times New Roman" w:hAnsi="Times New Roman" w:cs="Times New Roman"/>
          <w:sz w:val="24"/>
          <w:szCs w:val="24"/>
        </w:rPr>
        <w:t xml:space="preserve"> </w:t>
      </w:r>
      <w:r>
        <w:rPr>
          <w:rFonts w:ascii="Times New Roman" w:hAnsi="Times New Roman" w:cs="Times New Roman"/>
          <w:sz w:val="24"/>
          <w:szCs w:val="24"/>
        </w:rPr>
        <w:t>tab/</w:t>
      </w:r>
      <w:r w:rsidR="000D7FBA">
        <w:rPr>
          <w:rFonts w:ascii="Times New Roman" w:hAnsi="Times New Roman" w:cs="Times New Roman"/>
          <w:sz w:val="24"/>
          <w:szCs w:val="24"/>
        </w:rPr>
        <w:t>worksheet.</w:t>
      </w:r>
      <w:r>
        <w:rPr>
          <w:rFonts w:ascii="Times New Roman" w:hAnsi="Times New Roman" w:cs="Times New Roman"/>
          <w:sz w:val="24"/>
          <w:szCs w:val="24"/>
        </w:rPr>
        <w:t xml:space="preserve">  Subtracting the cumulative survival rate across years 2-20 years</w:t>
      </w:r>
      <w:r w:rsidR="00EC76F8">
        <w:rPr>
          <w:rFonts w:ascii="Times New Roman" w:hAnsi="Times New Roman" w:cs="Times New Roman"/>
          <w:sz w:val="24"/>
          <w:szCs w:val="24"/>
        </w:rPr>
        <w:t xml:space="preserve"> (</w:t>
      </w:r>
      <w:r>
        <w:rPr>
          <w:rFonts w:ascii="Times New Roman" w:hAnsi="Times New Roman" w:cs="Times New Roman"/>
          <w:sz w:val="24"/>
          <w:szCs w:val="24"/>
        </w:rPr>
        <w:t>cell K21 of the “</w:t>
      </w:r>
      <w:proofErr w:type="spellStart"/>
      <w:r>
        <w:rPr>
          <w:rFonts w:ascii="Times New Roman" w:hAnsi="Times New Roman" w:cs="Times New Roman"/>
          <w:sz w:val="24"/>
          <w:szCs w:val="24"/>
        </w:rPr>
        <w:t>GHR_RecidRates</w:t>
      </w:r>
      <w:proofErr w:type="spellEnd"/>
      <w:r>
        <w:rPr>
          <w:rFonts w:ascii="Times New Roman" w:hAnsi="Times New Roman" w:cs="Times New Roman"/>
          <w:sz w:val="24"/>
          <w:szCs w:val="24"/>
        </w:rPr>
        <w:t>” and “</w:t>
      </w:r>
      <w:proofErr w:type="spellStart"/>
      <w:r>
        <w:rPr>
          <w:rFonts w:ascii="Times New Roman" w:hAnsi="Times New Roman" w:cs="Times New Roman"/>
          <w:sz w:val="24"/>
          <w:szCs w:val="24"/>
        </w:rPr>
        <w:t>GHR</w:t>
      </w:r>
      <w:r w:rsidR="00EC76F8">
        <w:rPr>
          <w:rFonts w:ascii="Times New Roman" w:hAnsi="Times New Roman" w:cs="Times New Roman"/>
          <w:sz w:val="24"/>
          <w:szCs w:val="24"/>
        </w:rPr>
        <w:t>_NS_RecidRates</w:t>
      </w:r>
      <w:proofErr w:type="spellEnd"/>
      <w:r w:rsidR="00EC76F8">
        <w:rPr>
          <w:rFonts w:ascii="Times New Roman" w:hAnsi="Times New Roman" w:cs="Times New Roman"/>
          <w:sz w:val="24"/>
          <w:szCs w:val="24"/>
        </w:rPr>
        <w:t>” tabs/worksheets)</w:t>
      </w:r>
      <w:r>
        <w:rPr>
          <w:rFonts w:ascii="Times New Roman" w:hAnsi="Times New Roman" w:cs="Times New Roman"/>
          <w:sz w:val="24"/>
          <w:szCs w:val="24"/>
        </w:rPr>
        <w:t xml:space="preserve"> from </w:t>
      </w:r>
      <w:r w:rsidR="00013ED6">
        <w:rPr>
          <w:rFonts w:ascii="Times New Roman" w:hAnsi="Times New Roman" w:cs="Times New Roman"/>
          <w:sz w:val="24"/>
          <w:szCs w:val="24"/>
        </w:rPr>
        <w:t>1 provides the residual risk of</w:t>
      </w:r>
      <w:r>
        <w:rPr>
          <w:rFonts w:ascii="Times New Roman" w:hAnsi="Times New Roman" w:cs="Times New Roman"/>
          <w:sz w:val="24"/>
          <w:szCs w:val="24"/>
        </w:rPr>
        <w:t xml:space="preserve"> an individual</w:t>
      </w:r>
      <w:r w:rsidR="00013ED6">
        <w:rPr>
          <w:rFonts w:ascii="Times New Roman" w:hAnsi="Times New Roman" w:cs="Times New Roman"/>
          <w:sz w:val="24"/>
          <w:szCs w:val="24"/>
        </w:rPr>
        <w:t xml:space="preserve"> surviving the first year without reoffending and entering the second year</w:t>
      </w:r>
      <w:r w:rsidR="00EC76F8">
        <w:rPr>
          <w:rFonts w:ascii="Times New Roman" w:hAnsi="Times New Roman" w:cs="Times New Roman"/>
          <w:sz w:val="24"/>
          <w:szCs w:val="24"/>
        </w:rPr>
        <w:t xml:space="preserve">.  This value is copied to </w:t>
      </w:r>
      <w:r w:rsidR="00013ED6">
        <w:rPr>
          <w:rFonts w:ascii="Times New Roman" w:hAnsi="Times New Roman" w:cs="Times New Roman"/>
          <w:sz w:val="24"/>
          <w:szCs w:val="24"/>
        </w:rPr>
        <w:t>cell J6</w:t>
      </w:r>
      <w:r>
        <w:rPr>
          <w:rFonts w:ascii="Times New Roman" w:hAnsi="Times New Roman" w:cs="Times New Roman"/>
          <w:sz w:val="24"/>
          <w:szCs w:val="24"/>
        </w:rPr>
        <w:t xml:space="preserve"> of the “Calculator” tab/worksheet.</w:t>
      </w:r>
      <w:r w:rsidR="00013ED6">
        <w:rPr>
          <w:rFonts w:ascii="Times New Roman" w:hAnsi="Times New Roman" w:cs="Times New Roman"/>
          <w:sz w:val="24"/>
          <w:szCs w:val="24"/>
        </w:rPr>
        <w:t xml:space="preserve">  Subsequent values computed in cells L21 – AC21 of the “</w:t>
      </w:r>
      <w:proofErr w:type="spellStart"/>
      <w:r w:rsidR="00013ED6">
        <w:rPr>
          <w:rFonts w:ascii="Times New Roman" w:hAnsi="Times New Roman" w:cs="Times New Roman"/>
          <w:sz w:val="24"/>
          <w:szCs w:val="24"/>
        </w:rPr>
        <w:t>GHR_RecidRates</w:t>
      </w:r>
      <w:proofErr w:type="spellEnd"/>
      <w:r w:rsidR="00013ED6">
        <w:rPr>
          <w:rFonts w:ascii="Times New Roman" w:hAnsi="Times New Roman" w:cs="Times New Roman"/>
          <w:sz w:val="24"/>
          <w:szCs w:val="24"/>
        </w:rPr>
        <w:t>” and “</w:t>
      </w:r>
      <w:proofErr w:type="spellStart"/>
      <w:r w:rsidR="00013ED6">
        <w:rPr>
          <w:rFonts w:ascii="Times New Roman" w:hAnsi="Times New Roman" w:cs="Times New Roman"/>
          <w:sz w:val="24"/>
          <w:szCs w:val="24"/>
        </w:rPr>
        <w:t>GHR_NS_RecidRates</w:t>
      </w:r>
      <w:proofErr w:type="spellEnd"/>
      <w:r w:rsidR="00013ED6">
        <w:rPr>
          <w:rFonts w:ascii="Times New Roman" w:hAnsi="Times New Roman" w:cs="Times New Roman"/>
          <w:sz w:val="24"/>
          <w:szCs w:val="24"/>
        </w:rPr>
        <w:t>” tabs/worksheets, provide the cumulative survival rates for individuals free in the community entering years 3 through 19 without sexually reoffending.  Subtracting 1 from those values provides the residual risk remaining at the start of each new year, shown in rows 7 through 24</w:t>
      </w:r>
      <w:r w:rsidR="007168EF">
        <w:rPr>
          <w:rFonts w:ascii="Times New Roman" w:hAnsi="Times New Roman" w:cs="Times New Roman"/>
          <w:sz w:val="24"/>
          <w:szCs w:val="24"/>
        </w:rPr>
        <w:t xml:space="preserve"> of column J in the “Calculator” tab/workbook</w:t>
      </w:r>
      <w:r w:rsidR="00116F44">
        <w:rPr>
          <w:rFonts w:ascii="Times New Roman" w:hAnsi="Times New Roman" w:cs="Times New Roman"/>
          <w:sz w:val="24"/>
          <w:szCs w:val="24"/>
        </w:rPr>
        <w:t xml:space="preserve"> (These values are computed in column AE of the “</w:t>
      </w:r>
      <w:proofErr w:type="spellStart"/>
      <w:r w:rsidR="00116F44">
        <w:rPr>
          <w:rFonts w:ascii="Times New Roman" w:hAnsi="Times New Roman" w:cs="Times New Roman"/>
          <w:sz w:val="24"/>
          <w:szCs w:val="24"/>
        </w:rPr>
        <w:t>GHR_RecidRates</w:t>
      </w:r>
      <w:proofErr w:type="spellEnd"/>
      <w:r w:rsidR="00116F44">
        <w:rPr>
          <w:rFonts w:ascii="Times New Roman" w:hAnsi="Times New Roman" w:cs="Times New Roman"/>
          <w:sz w:val="24"/>
          <w:szCs w:val="24"/>
        </w:rPr>
        <w:t>” and “</w:t>
      </w:r>
      <w:proofErr w:type="spellStart"/>
      <w:r w:rsidR="00116F44">
        <w:rPr>
          <w:rFonts w:ascii="Times New Roman" w:hAnsi="Times New Roman" w:cs="Times New Roman"/>
          <w:sz w:val="24"/>
          <w:szCs w:val="24"/>
        </w:rPr>
        <w:t>GHR_NS_RecidRates</w:t>
      </w:r>
      <w:proofErr w:type="spellEnd"/>
      <w:r w:rsidR="00116F44">
        <w:rPr>
          <w:rFonts w:ascii="Times New Roman" w:hAnsi="Times New Roman" w:cs="Times New Roman"/>
          <w:sz w:val="24"/>
          <w:szCs w:val="24"/>
        </w:rPr>
        <w:t xml:space="preserve">” tabs/worksheets and </w:t>
      </w:r>
      <w:r w:rsidR="000511BC">
        <w:rPr>
          <w:rFonts w:ascii="Times New Roman" w:hAnsi="Times New Roman" w:cs="Times New Roman"/>
          <w:sz w:val="24"/>
          <w:szCs w:val="24"/>
        </w:rPr>
        <w:t>copied to the “Calculator” tab/worksheet.</w:t>
      </w:r>
      <w:r w:rsidR="00116F44">
        <w:rPr>
          <w:rFonts w:ascii="Times New Roman" w:hAnsi="Times New Roman" w:cs="Times New Roman"/>
          <w:sz w:val="24"/>
          <w:szCs w:val="24"/>
        </w:rPr>
        <w:t>)</w:t>
      </w:r>
    </w:p>
    <w:p w14:paraId="795F0292" w14:textId="77777777" w:rsidR="00085627" w:rsidRPr="00203C8E" w:rsidRDefault="00085627" w:rsidP="00FF0924">
      <w:pPr>
        <w:spacing w:after="0" w:line="240" w:lineRule="auto"/>
        <w:rPr>
          <w:rFonts w:ascii="Times New Roman" w:hAnsi="Times New Roman" w:cs="Times New Roman"/>
          <w:sz w:val="24"/>
          <w:szCs w:val="24"/>
        </w:rPr>
      </w:pPr>
    </w:p>
    <w:p w14:paraId="4CF29698" w14:textId="77777777" w:rsidR="006864C0" w:rsidRDefault="0079580A" w:rsidP="00FF0924">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Hazard rate models of predicted recidivism </w:t>
      </w:r>
      <w:r w:rsidR="00085627">
        <w:rPr>
          <w:rFonts w:ascii="Times New Roman" w:hAnsi="Times New Roman" w:cs="Times New Roman"/>
          <w:sz w:val="24"/>
          <w:szCs w:val="24"/>
          <w:u w:val="single"/>
        </w:rPr>
        <w:t>among individuals convicted of nonsexual offenses</w:t>
      </w:r>
    </w:p>
    <w:p w14:paraId="1188334B" w14:textId="77777777" w:rsidR="00013599" w:rsidRDefault="006864C0"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The “</w:t>
      </w:r>
      <w:proofErr w:type="spellStart"/>
      <w:r w:rsidR="00E806E7">
        <w:rPr>
          <w:rFonts w:ascii="Times New Roman" w:hAnsi="Times New Roman" w:cs="Times New Roman"/>
          <w:sz w:val="24"/>
          <w:szCs w:val="24"/>
        </w:rPr>
        <w:t>G</w:t>
      </w:r>
      <w:r>
        <w:rPr>
          <w:rFonts w:ascii="Times New Roman" w:hAnsi="Times New Roman" w:cs="Times New Roman"/>
          <w:sz w:val="24"/>
          <w:szCs w:val="24"/>
        </w:rPr>
        <w:t>HR_</w:t>
      </w:r>
      <w:r w:rsidR="00E806E7">
        <w:rPr>
          <w:rFonts w:ascii="Times New Roman" w:hAnsi="Times New Roman" w:cs="Times New Roman"/>
          <w:sz w:val="24"/>
          <w:szCs w:val="24"/>
        </w:rPr>
        <w:t>NS_</w:t>
      </w:r>
      <w:r>
        <w:rPr>
          <w:rFonts w:ascii="Times New Roman" w:hAnsi="Times New Roman" w:cs="Times New Roman"/>
          <w:sz w:val="24"/>
          <w:szCs w:val="24"/>
        </w:rPr>
        <w:t>RecidRates</w:t>
      </w:r>
      <w:proofErr w:type="spellEnd"/>
      <w:r>
        <w:rPr>
          <w:rFonts w:ascii="Times New Roman" w:hAnsi="Times New Roman" w:cs="Times New Roman"/>
          <w:sz w:val="24"/>
          <w:szCs w:val="24"/>
        </w:rPr>
        <w:t xml:space="preserve">” </w:t>
      </w:r>
      <w:r w:rsidR="00E806E7">
        <w:rPr>
          <w:rFonts w:ascii="Times New Roman" w:hAnsi="Times New Roman" w:cs="Times New Roman"/>
          <w:sz w:val="24"/>
          <w:szCs w:val="24"/>
        </w:rPr>
        <w:t>tab/</w:t>
      </w:r>
      <w:r>
        <w:rPr>
          <w:rFonts w:ascii="Times New Roman" w:hAnsi="Times New Roman" w:cs="Times New Roman"/>
          <w:sz w:val="24"/>
          <w:szCs w:val="24"/>
        </w:rPr>
        <w:t>worksheet</w:t>
      </w:r>
      <w:r w:rsidR="00B91EB4">
        <w:rPr>
          <w:rFonts w:ascii="Times New Roman" w:hAnsi="Times New Roman" w:cs="Times New Roman"/>
          <w:sz w:val="24"/>
          <w:szCs w:val="24"/>
        </w:rPr>
        <w:t xml:space="preserve"> is</w:t>
      </w:r>
      <w:r>
        <w:rPr>
          <w:rFonts w:ascii="Times New Roman" w:hAnsi="Times New Roman" w:cs="Times New Roman"/>
          <w:sz w:val="24"/>
          <w:szCs w:val="24"/>
        </w:rPr>
        <w:t xml:space="preserve"> </w:t>
      </w:r>
      <w:r w:rsidR="00B91EB4">
        <w:rPr>
          <w:rFonts w:ascii="Times New Roman" w:hAnsi="Times New Roman" w:cs="Times New Roman"/>
          <w:sz w:val="24"/>
          <w:szCs w:val="24"/>
        </w:rPr>
        <w:t xml:space="preserve">used to model lifetime and residual risk of individuals with a history of sexual offending who </w:t>
      </w:r>
      <w:r w:rsidR="000511BC">
        <w:rPr>
          <w:rFonts w:ascii="Times New Roman" w:hAnsi="Times New Roman" w:cs="Times New Roman"/>
          <w:sz w:val="24"/>
          <w:szCs w:val="24"/>
        </w:rPr>
        <w:t xml:space="preserve">are </w:t>
      </w:r>
      <w:r w:rsidR="00B91EB4">
        <w:rPr>
          <w:rFonts w:ascii="Times New Roman" w:hAnsi="Times New Roman" w:cs="Times New Roman"/>
          <w:sz w:val="24"/>
          <w:szCs w:val="24"/>
        </w:rPr>
        <w:t xml:space="preserve">convicted of a nonsexual offense after release from their index sexual offense. The layout and functionality of the tab/worksheet is </w:t>
      </w:r>
      <w:r w:rsidR="000511BC">
        <w:rPr>
          <w:rFonts w:ascii="Times New Roman" w:hAnsi="Times New Roman" w:cs="Times New Roman"/>
          <w:sz w:val="24"/>
          <w:szCs w:val="24"/>
        </w:rPr>
        <w:t xml:space="preserve">very similar to </w:t>
      </w:r>
      <w:r>
        <w:rPr>
          <w:rFonts w:ascii="Times New Roman" w:hAnsi="Times New Roman" w:cs="Times New Roman"/>
          <w:sz w:val="24"/>
          <w:szCs w:val="24"/>
        </w:rPr>
        <w:t>the “</w:t>
      </w:r>
      <w:proofErr w:type="spellStart"/>
      <w:r w:rsidR="00E806E7">
        <w:rPr>
          <w:rFonts w:ascii="Times New Roman" w:hAnsi="Times New Roman" w:cs="Times New Roman"/>
          <w:sz w:val="24"/>
          <w:szCs w:val="24"/>
        </w:rPr>
        <w:t>GH</w:t>
      </w:r>
      <w:r>
        <w:rPr>
          <w:rFonts w:ascii="Times New Roman" w:hAnsi="Times New Roman" w:cs="Times New Roman"/>
          <w:sz w:val="24"/>
          <w:szCs w:val="24"/>
        </w:rPr>
        <w:t>R_RecidRates</w:t>
      </w:r>
      <w:proofErr w:type="spellEnd"/>
      <w:r>
        <w:rPr>
          <w:rFonts w:ascii="Times New Roman" w:hAnsi="Times New Roman" w:cs="Times New Roman"/>
          <w:sz w:val="24"/>
          <w:szCs w:val="24"/>
        </w:rPr>
        <w:t xml:space="preserve">” </w:t>
      </w:r>
      <w:r w:rsidR="00B91EB4">
        <w:rPr>
          <w:rFonts w:ascii="Times New Roman" w:hAnsi="Times New Roman" w:cs="Times New Roman"/>
          <w:sz w:val="24"/>
          <w:szCs w:val="24"/>
        </w:rPr>
        <w:t>tab/</w:t>
      </w:r>
      <w:r>
        <w:rPr>
          <w:rFonts w:ascii="Times New Roman" w:hAnsi="Times New Roman" w:cs="Times New Roman"/>
          <w:sz w:val="24"/>
          <w:szCs w:val="24"/>
        </w:rPr>
        <w:t>worksheet described above</w:t>
      </w:r>
      <w:r w:rsidR="00B91EB4">
        <w:rPr>
          <w:rFonts w:ascii="Times New Roman" w:hAnsi="Times New Roman" w:cs="Times New Roman"/>
          <w:sz w:val="24"/>
          <w:szCs w:val="24"/>
        </w:rPr>
        <w:t xml:space="preserve">, </w:t>
      </w:r>
      <w:r w:rsidR="000511BC">
        <w:rPr>
          <w:rFonts w:ascii="Times New Roman" w:hAnsi="Times New Roman" w:cs="Times New Roman"/>
          <w:sz w:val="24"/>
          <w:szCs w:val="24"/>
        </w:rPr>
        <w:t xml:space="preserve">with a few </w:t>
      </w:r>
      <w:r w:rsidR="00B91EB4">
        <w:rPr>
          <w:rFonts w:ascii="Times New Roman" w:hAnsi="Times New Roman" w:cs="Times New Roman"/>
          <w:sz w:val="24"/>
          <w:szCs w:val="24"/>
        </w:rPr>
        <w:t>critical difference</w:t>
      </w:r>
      <w:r w:rsidR="000511BC">
        <w:rPr>
          <w:rFonts w:ascii="Times New Roman" w:hAnsi="Times New Roman" w:cs="Times New Roman"/>
          <w:sz w:val="24"/>
          <w:szCs w:val="24"/>
        </w:rPr>
        <w:t>s</w:t>
      </w:r>
      <w:r w:rsidR="00B91EB4">
        <w:rPr>
          <w:rFonts w:ascii="Times New Roman" w:hAnsi="Times New Roman" w:cs="Times New Roman"/>
          <w:sz w:val="24"/>
          <w:szCs w:val="24"/>
        </w:rPr>
        <w:t xml:space="preserve">.  </w:t>
      </w:r>
    </w:p>
    <w:p w14:paraId="31247134" w14:textId="77777777" w:rsidR="00013599" w:rsidRDefault="00013599" w:rsidP="00FF0924">
      <w:pPr>
        <w:spacing w:after="0" w:line="240" w:lineRule="auto"/>
        <w:rPr>
          <w:rFonts w:ascii="Times New Roman" w:hAnsi="Times New Roman" w:cs="Times New Roman"/>
          <w:sz w:val="24"/>
          <w:szCs w:val="24"/>
        </w:rPr>
      </w:pPr>
    </w:p>
    <w:p w14:paraId="5E17B121" w14:textId="6A6E4B31" w:rsidR="00D74869" w:rsidRDefault="00B91EB4"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initial annual hazard ratio, </w:t>
      </w:r>
      <w:r w:rsidR="00013599">
        <w:rPr>
          <w:rFonts w:ascii="Times New Roman" w:hAnsi="Times New Roman" w:cs="Times New Roman"/>
          <w:sz w:val="24"/>
          <w:szCs w:val="24"/>
        </w:rPr>
        <w:t xml:space="preserve">reiteratively </w:t>
      </w:r>
      <w:r>
        <w:rPr>
          <w:rFonts w:ascii="Times New Roman" w:hAnsi="Times New Roman" w:cs="Times New Roman"/>
          <w:sz w:val="24"/>
          <w:szCs w:val="24"/>
        </w:rPr>
        <w:t xml:space="preserve">derived from the </w:t>
      </w:r>
      <w:r w:rsidR="000511BC">
        <w:rPr>
          <w:rFonts w:ascii="Times New Roman" w:hAnsi="Times New Roman" w:cs="Times New Roman"/>
          <w:sz w:val="24"/>
          <w:szCs w:val="24"/>
        </w:rPr>
        <w:t xml:space="preserve">specified </w:t>
      </w:r>
      <w:r w:rsidR="00013599">
        <w:rPr>
          <w:rFonts w:ascii="Times New Roman" w:hAnsi="Times New Roman" w:cs="Times New Roman"/>
          <w:sz w:val="24"/>
          <w:szCs w:val="24"/>
        </w:rPr>
        <w:t>recidivism rate and follow-up year</w:t>
      </w:r>
      <w:r>
        <w:rPr>
          <w:rFonts w:ascii="Times New Roman" w:hAnsi="Times New Roman" w:cs="Times New Roman"/>
          <w:sz w:val="24"/>
          <w:szCs w:val="24"/>
        </w:rPr>
        <w:t xml:space="preserve"> </w:t>
      </w:r>
      <w:r w:rsidR="000511BC">
        <w:rPr>
          <w:rFonts w:ascii="Times New Roman" w:hAnsi="Times New Roman" w:cs="Times New Roman"/>
          <w:sz w:val="24"/>
          <w:szCs w:val="24"/>
        </w:rPr>
        <w:t xml:space="preserve">entered into </w:t>
      </w:r>
      <w:r w:rsidR="00013599">
        <w:rPr>
          <w:rFonts w:ascii="Times New Roman" w:hAnsi="Times New Roman" w:cs="Times New Roman"/>
          <w:sz w:val="24"/>
          <w:szCs w:val="24"/>
        </w:rPr>
        <w:t>cells B5 and B6 of the “Calculator” tab/worksheet, is computed in the same</w:t>
      </w:r>
      <w:r w:rsidR="005606DE">
        <w:rPr>
          <w:rFonts w:ascii="Times New Roman" w:hAnsi="Times New Roman" w:cs="Times New Roman"/>
          <w:sz w:val="24"/>
          <w:szCs w:val="24"/>
        </w:rPr>
        <w:t xml:space="preserve"> fashion described above</w:t>
      </w:r>
      <w:r w:rsidR="000511BC">
        <w:rPr>
          <w:rFonts w:ascii="Times New Roman" w:hAnsi="Times New Roman" w:cs="Times New Roman"/>
          <w:sz w:val="24"/>
          <w:szCs w:val="24"/>
        </w:rPr>
        <w:t>,</w:t>
      </w:r>
      <w:r w:rsidR="00013599">
        <w:rPr>
          <w:rFonts w:ascii="Times New Roman" w:hAnsi="Times New Roman" w:cs="Times New Roman"/>
          <w:sz w:val="24"/>
          <w:szCs w:val="24"/>
        </w:rPr>
        <w:t xml:space="preserve"> using the “</w:t>
      </w:r>
      <w:proofErr w:type="spellStart"/>
      <w:r w:rsidR="00013599">
        <w:rPr>
          <w:rFonts w:ascii="Times New Roman" w:hAnsi="Times New Roman" w:cs="Times New Roman"/>
          <w:sz w:val="24"/>
          <w:szCs w:val="24"/>
        </w:rPr>
        <w:t>Get_HR</w:t>
      </w:r>
      <w:proofErr w:type="spellEnd"/>
      <w:r w:rsidR="00013599">
        <w:rPr>
          <w:rFonts w:ascii="Times New Roman" w:hAnsi="Times New Roman" w:cs="Times New Roman"/>
          <w:sz w:val="24"/>
          <w:szCs w:val="24"/>
        </w:rPr>
        <w:t>” and “</w:t>
      </w:r>
      <w:proofErr w:type="spellStart"/>
      <w:r w:rsidR="00013599">
        <w:rPr>
          <w:rFonts w:ascii="Times New Roman" w:hAnsi="Times New Roman" w:cs="Times New Roman"/>
          <w:sz w:val="24"/>
          <w:szCs w:val="24"/>
        </w:rPr>
        <w:t>GHR_RecidRates</w:t>
      </w:r>
      <w:proofErr w:type="spellEnd"/>
      <w:r w:rsidR="00013599">
        <w:rPr>
          <w:rFonts w:ascii="Times New Roman" w:hAnsi="Times New Roman" w:cs="Times New Roman"/>
          <w:sz w:val="24"/>
          <w:szCs w:val="24"/>
        </w:rPr>
        <w:t>” tabs/worksheets.</w:t>
      </w:r>
      <w:r w:rsidR="005606DE">
        <w:rPr>
          <w:rFonts w:ascii="Times New Roman" w:hAnsi="Times New Roman" w:cs="Times New Roman"/>
          <w:sz w:val="24"/>
          <w:szCs w:val="24"/>
        </w:rPr>
        <w:t xml:space="preserve">  This </w:t>
      </w:r>
      <w:r w:rsidR="00451D7C">
        <w:rPr>
          <w:rFonts w:ascii="Times New Roman" w:hAnsi="Times New Roman" w:cs="Times New Roman"/>
          <w:sz w:val="24"/>
          <w:szCs w:val="24"/>
        </w:rPr>
        <w:t xml:space="preserve">choice </w:t>
      </w:r>
      <w:r w:rsidR="005606DE">
        <w:rPr>
          <w:rFonts w:ascii="Times New Roman" w:hAnsi="Times New Roman" w:cs="Times New Roman"/>
          <w:sz w:val="24"/>
          <w:szCs w:val="24"/>
        </w:rPr>
        <w:t>reflects the large</w:t>
      </w:r>
      <w:r w:rsidR="00451D7C">
        <w:rPr>
          <w:rFonts w:ascii="Times New Roman" w:hAnsi="Times New Roman" w:cs="Times New Roman"/>
          <w:sz w:val="24"/>
          <w:szCs w:val="24"/>
        </w:rPr>
        <w:t>r samples size used to estimate</w:t>
      </w:r>
      <w:r w:rsidR="005606DE">
        <w:rPr>
          <w:rFonts w:ascii="Times New Roman" w:hAnsi="Times New Roman" w:cs="Times New Roman"/>
          <w:sz w:val="24"/>
          <w:szCs w:val="24"/>
        </w:rPr>
        <w:t xml:space="preserve"> model parameters in Model 5 of Hanson et al. (201</w:t>
      </w:r>
      <w:r w:rsidR="00E030B6">
        <w:rPr>
          <w:rFonts w:ascii="Times New Roman" w:hAnsi="Times New Roman" w:cs="Times New Roman"/>
          <w:sz w:val="24"/>
          <w:szCs w:val="24"/>
        </w:rPr>
        <w:t>8</w:t>
      </w:r>
      <w:r w:rsidR="005606DE">
        <w:rPr>
          <w:rFonts w:ascii="Times New Roman" w:hAnsi="Times New Roman" w:cs="Times New Roman"/>
          <w:sz w:val="24"/>
          <w:szCs w:val="24"/>
        </w:rPr>
        <w:t xml:space="preserve">).  The hazard ratio derived </w:t>
      </w:r>
      <w:r w:rsidR="00451D7C">
        <w:rPr>
          <w:rFonts w:ascii="Times New Roman" w:hAnsi="Times New Roman" w:cs="Times New Roman"/>
          <w:sz w:val="24"/>
          <w:szCs w:val="24"/>
        </w:rPr>
        <w:t>in the “</w:t>
      </w:r>
      <w:proofErr w:type="spellStart"/>
      <w:r w:rsidR="00451D7C">
        <w:rPr>
          <w:rFonts w:ascii="Times New Roman" w:hAnsi="Times New Roman" w:cs="Times New Roman"/>
          <w:sz w:val="24"/>
          <w:szCs w:val="24"/>
        </w:rPr>
        <w:t>Get_HR</w:t>
      </w:r>
      <w:proofErr w:type="spellEnd"/>
      <w:r w:rsidR="00451D7C">
        <w:rPr>
          <w:rFonts w:ascii="Times New Roman" w:hAnsi="Times New Roman" w:cs="Times New Roman"/>
          <w:sz w:val="24"/>
          <w:szCs w:val="24"/>
        </w:rPr>
        <w:t>” tab/worksheet i</w:t>
      </w:r>
      <w:r w:rsidR="005606DE">
        <w:rPr>
          <w:rFonts w:ascii="Times New Roman" w:hAnsi="Times New Roman" w:cs="Times New Roman"/>
          <w:sz w:val="24"/>
          <w:szCs w:val="24"/>
        </w:rPr>
        <w:t>s then written to cell A2 of the “</w:t>
      </w:r>
      <w:proofErr w:type="spellStart"/>
      <w:r w:rsidR="005606DE">
        <w:rPr>
          <w:rFonts w:ascii="Times New Roman" w:hAnsi="Times New Roman" w:cs="Times New Roman"/>
          <w:sz w:val="24"/>
          <w:szCs w:val="24"/>
        </w:rPr>
        <w:t>GHR_NS_RecidRates</w:t>
      </w:r>
      <w:proofErr w:type="spellEnd"/>
      <w:r w:rsidR="005606DE">
        <w:rPr>
          <w:rFonts w:ascii="Times New Roman" w:hAnsi="Times New Roman" w:cs="Times New Roman"/>
          <w:sz w:val="24"/>
          <w:szCs w:val="24"/>
        </w:rPr>
        <w:t>” tab/worksheet</w:t>
      </w:r>
      <w:r w:rsidR="000511BC">
        <w:rPr>
          <w:rFonts w:ascii="Times New Roman" w:hAnsi="Times New Roman" w:cs="Times New Roman"/>
          <w:sz w:val="24"/>
          <w:szCs w:val="24"/>
        </w:rPr>
        <w:t xml:space="preserve"> (shown in red)</w:t>
      </w:r>
      <w:r w:rsidR="00C46B65">
        <w:rPr>
          <w:rFonts w:ascii="Times New Roman" w:hAnsi="Times New Roman" w:cs="Times New Roman"/>
          <w:sz w:val="24"/>
          <w:szCs w:val="24"/>
        </w:rPr>
        <w:t>,</w:t>
      </w:r>
      <w:r w:rsidR="005606DE">
        <w:rPr>
          <w:rFonts w:ascii="Times New Roman" w:hAnsi="Times New Roman" w:cs="Times New Roman"/>
          <w:sz w:val="24"/>
          <w:szCs w:val="24"/>
        </w:rPr>
        <w:t xml:space="preserve"> ra</w:t>
      </w:r>
      <w:r w:rsidR="00451D7C">
        <w:rPr>
          <w:rFonts w:ascii="Times New Roman" w:hAnsi="Times New Roman" w:cs="Times New Roman"/>
          <w:sz w:val="24"/>
          <w:szCs w:val="24"/>
        </w:rPr>
        <w:t>ther than cell D2</w:t>
      </w:r>
      <w:r w:rsidR="000511BC">
        <w:rPr>
          <w:rFonts w:ascii="Times New Roman" w:hAnsi="Times New Roman" w:cs="Times New Roman"/>
          <w:sz w:val="24"/>
          <w:szCs w:val="24"/>
        </w:rPr>
        <w:t xml:space="preserve"> as is done in the “</w:t>
      </w:r>
      <w:proofErr w:type="spellStart"/>
      <w:r w:rsidR="000511BC">
        <w:rPr>
          <w:rFonts w:ascii="Times New Roman" w:hAnsi="Times New Roman" w:cs="Times New Roman"/>
          <w:sz w:val="24"/>
          <w:szCs w:val="24"/>
        </w:rPr>
        <w:t>GHR_RecidRates</w:t>
      </w:r>
      <w:proofErr w:type="spellEnd"/>
      <w:r w:rsidR="000511BC">
        <w:rPr>
          <w:rFonts w:ascii="Times New Roman" w:hAnsi="Times New Roman" w:cs="Times New Roman"/>
          <w:sz w:val="24"/>
          <w:szCs w:val="24"/>
        </w:rPr>
        <w:t>” tab/worksheet</w:t>
      </w:r>
      <w:r w:rsidR="00451D7C">
        <w:rPr>
          <w:rFonts w:ascii="Times New Roman" w:hAnsi="Times New Roman" w:cs="Times New Roman"/>
          <w:sz w:val="24"/>
          <w:szCs w:val="24"/>
        </w:rPr>
        <w:t xml:space="preserve">.  </w:t>
      </w:r>
      <w:r w:rsidR="00C46B65">
        <w:rPr>
          <w:rFonts w:ascii="Times New Roman" w:hAnsi="Times New Roman" w:cs="Times New Roman"/>
          <w:sz w:val="24"/>
          <w:szCs w:val="24"/>
        </w:rPr>
        <w:t>This allows the actual hazard rate for the first year to be increased (by .440 log units) or decreased (by .135 log units) depending on whether the nonsexual offense occurred before the end of the first year.</w:t>
      </w:r>
      <w:r w:rsidR="000511BC">
        <w:rPr>
          <w:rFonts w:ascii="Times New Roman" w:hAnsi="Times New Roman" w:cs="Times New Roman"/>
          <w:sz w:val="24"/>
          <w:szCs w:val="24"/>
        </w:rPr>
        <w:t xml:space="preserve">  These values reflect the parameter estimates</w:t>
      </w:r>
      <w:r w:rsidR="00D74869">
        <w:rPr>
          <w:rFonts w:ascii="Times New Roman" w:hAnsi="Times New Roman" w:cs="Times New Roman"/>
          <w:sz w:val="24"/>
          <w:szCs w:val="24"/>
        </w:rPr>
        <w:t xml:space="preserve"> of Model 6 in Hanson et al. (201</w:t>
      </w:r>
      <w:r w:rsidR="00E030B6">
        <w:rPr>
          <w:rFonts w:ascii="Times New Roman" w:hAnsi="Times New Roman" w:cs="Times New Roman"/>
          <w:sz w:val="24"/>
          <w:szCs w:val="24"/>
        </w:rPr>
        <w:t>8</w:t>
      </w:r>
      <w:r w:rsidR="00D74869">
        <w:rPr>
          <w:rFonts w:ascii="Times New Roman" w:hAnsi="Times New Roman" w:cs="Times New Roman"/>
          <w:sz w:val="24"/>
          <w:szCs w:val="24"/>
        </w:rPr>
        <w:t>) that take increased risk for sexually reoffending among individuals with a history of reoffending who are convicted of a nonsexual offense after release from their index sexual offenses into account.</w:t>
      </w:r>
    </w:p>
    <w:p w14:paraId="4DF325A4" w14:textId="77777777" w:rsidR="00D74869" w:rsidRDefault="00D74869" w:rsidP="00FF0924">
      <w:pPr>
        <w:spacing w:after="0" w:line="240" w:lineRule="auto"/>
        <w:rPr>
          <w:rFonts w:ascii="Times New Roman" w:hAnsi="Times New Roman" w:cs="Times New Roman"/>
          <w:sz w:val="24"/>
          <w:szCs w:val="24"/>
        </w:rPr>
      </w:pPr>
    </w:p>
    <w:p w14:paraId="03F7D894" w14:textId="1F69942D" w:rsidR="00C81FBA" w:rsidRDefault="00894B49"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0.440 log unit </w:t>
      </w:r>
      <w:r w:rsidR="009F2C88">
        <w:rPr>
          <w:rFonts w:ascii="Times New Roman" w:hAnsi="Times New Roman" w:cs="Times New Roman"/>
          <w:sz w:val="24"/>
          <w:szCs w:val="24"/>
        </w:rPr>
        <w:t xml:space="preserve">hazard rate </w:t>
      </w:r>
      <w:r>
        <w:rPr>
          <w:rFonts w:ascii="Times New Roman" w:hAnsi="Times New Roman" w:cs="Times New Roman"/>
          <w:sz w:val="24"/>
          <w:szCs w:val="24"/>
        </w:rPr>
        <w:t xml:space="preserve">increase for sexually reoffending is applied </w:t>
      </w:r>
      <w:r w:rsidR="009F2C88">
        <w:rPr>
          <w:rFonts w:ascii="Times New Roman" w:hAnsi="Times New Roman" w:cs="Times New Roman"/>
          <w:sz w:val="24"/>
          <w:szCs w:val="24"/>
        </w:rPr>
        <w:t xml:space="preserve">only </w:t>
      </w:r>
      <w:r>
        <w:rPr>
          <w:rFonts w:ascii="Times New Roman" w:hAnsi="Times New Roman" w:cs="Times New Roman"/>
          <w:sz w:val="24"/>
          <w:szCs w:val="24"/>
        </w:rPr>
        <w:t xml:space="preserve">once, </w:t>
      </w:r>
      <w:r w:rsidR="009F2C88">
        <w:rPr>
          <w:rFonts w:ascii="Times New Roman" w:hAnsi="Times New Roman" w:cs="Times New Roman"/>
          <w:sz w:val="24"/>
          <w:szCs w:val="24"/>
        </w:rPr>
        <w:t>as of the year that a</w:t>
      </w:r>
      <w:r>
        <w:rPr>
          <w:rFonts w:ascii="Times New Roman" w:hAnsi="Times New Roman" w:cs="Times New Roman"/>
          <w:sz w:val="24"/>
          <w:szCs w:val="24"/>
        </w:rPr>
        <w:t xml:space="preserve"> nonsexual conviction occurred (identified by the user in cell E9 of the “Calculator” tab/worksheet).  The hazard rate</w:t>
      </w:r>
      <w:r w:rsidR="009F2C88">
        <w:rPr>
          <w:rFonts w:ascii="Times New Roman" w:hAnsi="Times New Roman" w:cs="Times New Roman"/>
          <w:sz w:val="24"/>
          <w:szCs w:val="24"/>
        </w:rPr>
        <w:t>s</w:t>
      </w:r>
      <w:r>
        <w:rPr>
          <w:rFonts w:ascii="Times New Roman" w:hAnsi="Times New Roman" w:cs="Times New Roman"/>
          <w:sz w:val="24"/>
          <w:szCs w:val="24"/>
        </w:rPr>
        <w:t xml:space="preserve"> </w:t>
      </w:r>
      <w:r w:rsidR="00410D88">
        <w:rPr>
          <w:rFonts w:ascii="Times New Roman" w:hAnsi="Times New Roman" w:cs="Times New Roman"/>
          <w:sz w:val="24"/>
          <w:szCs w:val="24"/>
        </w:rPr>
        <w:t xml:space="preserve">(column D) </w:t>
      </w:r>
      <w:r>
        <w:rPr>
          <w:rFonts w:ascii="Times New Roman" w:hAnsi="Times New Roman" w:cs="Times New Roman"/>
          <w:sz w:val="24"/>
          <w:szCs w:val="24"/>
        </w:rPr>
        <w:t>for all other years in free community without sexually reoffending are decremented by 0.135 log units</w:t>
      </w:r>
      <w:r w:rsidR="00A514E8">
        <w:rPr>
          <w:rFonts w:ascii="Times New Roman" w:hAnsi="Times New Roman" w:cs="Times New Roman"/>
          <w:sz w:val="24"/>
          <w:szCs w:val="24"/>
        </w:rPr>
        <w:t>.  The risk reductions refle</w:t>
      </w:r>
      <w:r w:rsidR="00410D88">
        <w:rPr>
          <w:rFonts w:ascii="Times New Roman" w:hAnsi="Times New Roman" w:cs="Times New Roman"/>
          <w:sz w:val="24"/>
          <w:szCs w:val="24"/>
        </w:rPr>
        <w:t>cted in annual decrements of</w:t>
      </w:r>
      <w:r w:rsidR="00A514E8">
        <w:rPr>
          <w:rFonts w:ascii="Times New Roman" w:hAnsi="Times New Roman" w:cs="Times New Roman"/>
          <w:sz w:val="24"/>
          <w:szCs w:val="24"/>
        </w:rPr>
        <w:t xml:space="preserve"> hazard rates are realized for years prior to the year of a nonsexual conviction, as well as for the years following the </w:t>
      </w:r>
      <w:r w:rsidR="00410D88">
        <w:rPr>
          <w:rFonts w:ascii="Times New Roman" w:hAnsi="Times New Roman" w:cs="Times New Roman"/>
          <w:sz w:val="24"/>
          <w:szCs w:val="24"/>
        </w:rPr>
        <w:t xml:space="preserve">nonsexual </w:t>
      </w:r>
      <w:r w:rsidR="00A514E8">
        <w:rPr>
          <w:rFonts w:ascii="Times New Roman" w:hAnsi="Times New Roman" w:cs="Times New Roman"/>
          <w:sz w:val="24"/>
          <w:szCs w:val="24"/>
        </w:rPr>
        <w:t>conviction</w:t>
      </w:r>
      <w:r w:rsidR="00410D88">
        <w:rPr>
          <w:rFonts w:ascii="Times New Roman" w:hAnsi="Times New Roman" w:cs="Times New Roman"/>
          <w:sz w:val="24"/>
          <w:szCs w:val="24"/>
        </w:rPr>
        <w:t xml:space="preserve">.  The actual probability of surviving a year free in the community without sexually recidivating – prior to the year of conviction for a nonsexual offense – is 1.0, however.  That is, anyone surviving in the community </w:t>
      </w:r>
      <w:r w:rsidR="005B55D7">
        <w:rPr>
          <w:rFonts w:ascii="Times New Roman" w:hAnsi="Times New Roman" w:cs="Times New Roman"/>
          <w:sz w:val="24"/>
          <w:szCs w:val="24"/>
        </w:rPr>
        <w:t>long enough to be convicted of a nonsexual offense must have refrained from sexually recidivating to that point or they would have been removed from the population as a sexual recidivist prior to the nonsexual offense conviction.  Thus, prior to the year of a nonsexual offense conviction, the probability of s</w:t>
      </w:r>
      <w:r w:rsidR="00BB7A1D">
        <w:rPr>
          <w:rFonts w:ascii="Times New Roman" w:hAnsi="Times New Roman" w:cs="Times New Roman"/>
          <w:sz w:val="24"/>
          <w:szCs w:val="24"/>
        </w:rPr>
        <w:t>urviving each year (column E) i</w:t>
      </w:r>
      <w:r w:rsidR="005B55D7">
        <w:rPr>
          <w:rFonts w:ascii="Times New Roman" w:hAnsi="Times New Roman" w:cs="Times New Roman"/>
          <w:sz w:val="24"/>
          <w:szCs w:val="24"/>
        </w:rPr>
        <w:t>s set to 1.0, despite the modelled hazard rate</w:t>
      </w:r>
      <w:r w:rsidR="00AC0EC3">
        <w:rPr>
          <w:rFonts w:ascii="Times New Roman" w:hAnsi="Times New Roman" w:cs="Times New Roman"/>
          <w:sz w:val="24"/>
          <w:szCs w:val="24"/>
        </w:rPr>
        <w:t>s</w:t>
      </w:r>
      <w:r w:rsidR="005B55D7">
        <w:rPr>
          <w:rFonts w:ascii="Times New Roman" w:hAnsi="Times New Roman" w:cs="Times New Roman"/>
          <w:sz w:val="24"/>
          <w:szCs w:val="24"/>
        </w:rPr>
        <w:t xml:space="preserve"> (column</w:t>
      </w:r>
      <w:r w:rsidR="00AC0EC3">
        <w:rPr>
          <w:rFonts w:ascii="Times New Roman" w:hAnsi="Times New Roman" w:cs="Times New Roman"/>
          <w:sz w:val="24"/>
          <w:szCs w:val="24"/>
        </w:rPr>
        <w:t>s C and</w:t>
      </w:r>
      <w:r w:rsidR="005B55D7">
        <w:rPr>
          <w:rFonts w:ascii="Times New Roman" w:hAnsi="Times New Roman" w:cs="Times New Roman"/>
          <w:sz w:val="24"/>
          <w:szCs w:val="24"/>
        </w:rPr>
        <w:t xml:space="preserve"> D)</w:t>
      </w:r>
      <w:r w:rsidR="00AC0EC3">
        <w:rPr>
          <w:rFonts w:ascii="Times New Roman" w:hAnsi="Times New Roman" w:cs="Times New Roman"/>
          <w:sz w:val="24"/>
          <w:szCs w:val="24"/>
        </w:rPr>
        <w:t>.  T</w:t>
      </w:r>
      <w:r w:rsidR="005B55D7">
        <w:rPr>
          <w:rFonts w:ascii="Times New Roman" w:hAnsi="Times New Roman" w:cs="Times New Roman"/>
          <w:sz w:val="24"/>
          <w:szCs w:val="24"/>
        </w:rPr>
        <w:t xml:space="preserve">he cumulative survival rate </w:t>
      </w:r>
      <w:r w:rsidR="00AC0EC3">
        <w:rPr>
          <w:rFonts w:ascii="Times New Roman" w:hAnsi="Times New Roman" w:cs="Times New Roman"/>
          <w:sz w:val="24"/>
          <w:szCs w:val="24"/>
        </w:rPr>
        <w:t xml:space="preserve">for such </w:t>
      </w:r>
      <w:r w:rsidR="005B55D7">
        <w:rPr>
          <w:rFonts w:ascii="Times New Roman" w:hAnsi="Times New Roman" w:cs="Times New Roman"/>
          <w:sz w:val="24"/>
          <w:szCs w:val="24"/>
        </w:rPr>
        <w:t>year</w:t>
      </w:r>
      <w:r w:rsidR="00BB7A1D">
        <w:rPr>
          <w:rFonts w:ascii="Times New Roman" w:hAnsi="Times New Roman" w:cs="Times New Roman"/>
          <w:sz w:val="24"/>
          <w:szCs w:val="24"/>
        </w:rPr>
        <w:t>s (column F) i</w:t>
      </w:r>
      <w:r w:rsidR="00AC0EC3">
        <w:rPr>
          <w:rFonts w:ascii="Times New Roman" w:hAnsi="Times New Roman" w:cs="Times New Roman"/>
          <w:sz w:val="24"/>
          <w:szCs w:val="24"/>
        </w:rPr>
        <w:t>s, by definition, 100% with realized cumulative sexual recidivism rates (column G) of 0%.  Realized sexual recidivism risk following conviction for a nonsexual offense begins as of the year the nonsexual offense conviction occurs (and the hazard rate is incremented 0.440 log units)</w:t>
      </w:r>
      <w:r w:rsidR="00C81FBA">
        <w:rPr>
          <w:rFonts w:ascii="Times New Roman" w:hAnsi="Times New Roman" w:cs="Times New Roman"/>
          <w:sz w:val="24"/>
          <w:szCs w:val="24"/>
        </w:rPr>
        <w:t>, and accumulates through year 20 after release from the index sexual offense (cell E3 of the “Calculator” tab/worksheet</w:t>
      </w:r>
      <w:r w:rsidR="00BB7A1D">
        <w:rPr>
          <w:rFonts w:ascii="Times New Roman" w:hAnsi="Times New Roman" w:cs="Times New Roman"/>
          <w:sz w:val="24"/>
          <w:szCs w:val="24"/>
        </w:rPr>
        <w:t>)</w:t>
      </w:r>
      <w:r w:rsidR="00AC0EC3">
        <w:rPr>
          <w:rFonts w:ascii="Times New Roman" w:hAnsi="Times New Roman" w:cs="Times New Roman"/>
          <w:sz w:val="24"/>
          <w:szCs w:val="24"/>
        </w:rPr>
        <w:t>.</w:t>
      </w:r>
    </w:p>
    <w:p w14:paraId="563C4AA1" w14:textId="77777777" w:rsidR="00C81FBA" w:rsidRDefault="00C81FBA" w:rsidP="00FF0924">
      <w:pPr>
        <w:spacing w:after="0" w:line="240" w:lineRule="auto"/>
        <w:rPr>
          <w:rFonts w:ascii="Times New Roman" w:hAnsi="Times New Roman" w:cs="Times New Roman"/>
          <w:sz w:val="24"/>
          <w:szCs w:val="24"/>
        </w:rPr>
      </w:pPr>
    </w:p>
    <w:p w14:paraId="6207EA69" w14:textId="3636E8EB" w:rsidR="00A514E8" w:rsidRDefault="00C81FBA"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The computational processes for deriving the cumulative survival rates across years 1 through 20, shown in columns J through AC of the “</w:t>
      </w:r>
      <w:proofErr w:type="spellStart"/>
      <w:r>
        <w:rPr>
          <w:rFonts w:ascii="Times New Roman" w:hAnsi="Times New Roman" w:cs="Times New Roman"/>
          <w:sz w:val="24"/>
          <w:szCs w:val="24"/>
        </w:rPr>
        <w:t>GHR_NS_RecidRates</w:t>
      </w:r>
      <w:proofErr w:type="spellEnd"/>
      <w:r>
        <w:rPr>
          <w:rFonts w:ascii="Times New Roman" w:hAnsi="Times New Roman" w:cs="Times New Roman"/>
          <w:sz w:val="24"/>
          <w:szCs w:val="24"/>
        </w:rPr>
        <w:t xml:space="preserve">” tab/workbook, are identical to those described above </w:t>
      </w:r>
      <w:r w:rsidR="00B71C1C">
        <w:rPr>
          <w:rFonts w:ascii="Times New Roman" w:hAnsi="Times New Roman" w:cs="Times New Roman"/>
          <w:sz w:val="24"/>
          <w:szCs w:val="24"/>
        </w:rPr>
        <w:t xml:space="preserve">for individuals without a </w:t>
      </w:r>
      <w:r w:rsidR="00E35386">
        <w:rPr>
          <w:rFonts w:ascii="Times New Roman" w:hAnsi="Times New Roman" w:cs="Times New Roman"/>
          <w:sz w:val="24"/>
          <w:szCs w:val="24"/>
        </w:rPr>
        <w:t xml:space="preserve">post-release </w:t>
      </w:r>
      <w:r w:rsidR="00B71C1C">
        <w:rPr>
          <w:rFonts w:ascii="Times New Roman" w:hAnsi="Times New Roman" w:cs="Times New Roman"/>
          <w:sz w:val="24"/>
          <w:szCs w:val="24"/>
        </w:rPr>
        <w:t xml:space="preserve">nonsexual offense conviction. </w:t>
      </w:r>
      <w:r w:rsidR="005B55D7">
        <w:rPr>
          <w:rFonts w:ascii="Times New Roman" w:hAnsi="Times New Roman" w:cs="Times New Roman"/>
          <w:sz w:val="24"/>
          <w:szCs w:val="24"/>
        </w:rPr>
        <w:t xml:space="preserve"> </w:t>
      </w:r>
      <w:r w:rsidR="00410D88">
        <w:rPr>
          <w:rFonts w:ascii="Times New Roman" w:hAnsi="Times New Roman" w:cs="Times New Roman"/>
          <w:sz w:val="24"/>
          <w:szCs w:val="24"/>
        </w:rPr>
        <w:t xml:space="preserve">   </w:t>
      </w:r>
      <w:r w:rsidR="00A514E8">
        <w:rPr>
          <w:rFonts w:ascii="Times New Roman" w:hAnsi="Times New Roman" w:cs="Times New Roman"/>
          <w:sz w:val="24"/>
          <w:szCs w:val="24"/>
        </w:rPr>
        <w:t xml:space="preserve"> </w:t>
      </w:r>
    </w:p>
    <w:p w14:paraId="64B8BBDF" w14:textId="77777777" w:rsidR="007A6CCC" w:rsidRDefault="007A6CCC" w:rsidP="00FF0924">
      <w:pPr>
        <w:spacing w:after="0" w:line="240" w:lineRule="auto"/>
        <w:rPr>
          <w:rFonts w:ascii="Times New Roman" w:hAnsi="Times New Roman" w:cs="Times New Roman"/>
          <w:sz w:val="24"/>
          <w:szCs w:val="24"/>
        </w:rPr>
      </w:pPr>
    </w:p>
    <w:p w14:paraId="1E0C5246" w14:textId="77777777" w:rsidR="00C67B99" w:rsidRDefault="00C67B99" w:rsidP="00FF0924">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Residual Risk as of Current Date</w:t>
      </w:r>
    </w:p>
    <w:p w14:paraId="59BD0F5C" w14:textId="77777777" w:rsidR="00C67B99" w:rsidRDefault="00C67B99"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Row 27 of the </w:t>
      </w:r>
      <w:r w:rsidR="00B71C1C">
        <w:rPr>
          <w:rFonts w:ascii="Times New Roman" w:hAnsi="Times New Roman" w:cs="Times New Roman"/>
          <w:sz w:val="24"/>
          <w:szCs w:val="24"/>
        </w:rPr>
        <w:t>“</w:t>
      </w:r>
      <w:r>
        <w:rPr>
          <w:rFonts w:ascii="Times New Roman" w:hAnsi="Times New Roman" w:cs="Times New Roman"/>
          <w:sz w:val="24"/>
          <w:szCs w:val="24"/>
        </w:rPr>
        <w:t>Calculator</w:t>
      </w:r>
      <w:r w:rsidR="00B71C1C">
        <w:rPr>
          <w:rFonts w:ascii="Times New Roman" w:hAnsi="Times New Roman" w:cs="Times New Roman"/>
          <w:sz w:val="24"/>
          <w:szCs w:val="24"/>
        </w:rPr>
        <w:t>”</w:t>
      </w:r>
      <w:r>
        <w:rPr>
          <w:rFonts w:ascii="Times New Roman" w:hAnsi="Times New Roman" w:cs="Times New Roman"/>
          <w:sz w:val="24"/>
          <w:szCs w:val="24"/>
        </w:rPr>
        <w:t xml:space="preserve"> </w:t>
      </w:r>
      <w:r w:rsidR="00B71C1C">
        <w:rPr>
          <w:rFonts w:ascii="Times New Roman" w:hAnsi="Times New Roman" w:cs="Times New Roman"/>
          <w:sz w:val="24"/>
          <w:szCs w:val="24"/>
        </w:rPr>
        <w:t>tab/</w:t>
      </w:r>
      <w:r>
        <w:rPr>
          <w:rFonts w:ascii="Times New Roman" w:hAnsi="Times New Roman" w:cs="Times New Roman"/>
          <w:sz w:val="24"/>
          <w:szCs w:val="24"/>
        </w:rPr>
        <w:t>worksheet shows</w:t>
      </w:r>
      <w:r w:rsidR="00B71C1C">
        <w:rPr>
          <w:rFonts w:ascii="Times New Roman" w:hAnsi="Times New Roman" w:cs="Times New Roman"/>
          <w:sz w:val="24"/>
          <w:szCs w:val="24"/>
        </w:rPr>
        <w:t xml:space="preserve"> the current date (cell</w:t>
      </w:r>
      <w:r>
        <w:rPr>
          <w:rFonts w:ascii="Times New Roman" w:hAnsi="Times New Roman" w:cs="Times New Roman"/>
          <w:sz w:val="24"/>
          <w:szCs w:val="24"/>
        </w:rPr>
        <w:t xml:space="preserve"> H27) and the residual lifetime risk as of today (</w:t>
      </w:r>
      <w:r w:rsidR="00B71C1C">
        <w:rPr>
          <w:rFonts w:ascii="Times New Roman" w:hAnsi="Times New Roman" w:cs="Times New Roman"/>
          <w:sz w:val="24"/>
          <w:szCs w:val="24"/>
        </w:rPr>
        <w:t xml:space="preserve">cell </w:t>
      </w:r>
      <w:r>
        <w:rPr>
          <w:rFonts w:ascii="Times New Roman" w:hAnsi="Times New Roman" w:cs="Times New Roman"/>
          <w:sz w:val="24"/>
          <w:szCs w:val="24"/>
        </w:rPr>
        <w:t xml:space="preserve">J27).  This value is interpolated linearly from the values </w:t>
      </w:r>
      <w:r w:rsidR="00B71C1C">
        <w:rPr>
          <w:rFonts w:ascii="Times New Roman" w:hAnsi="Times New Roman" w:cs="Times New Roman"/>
          <w:sz w:val="24"/>
          <w:szCs w:val="24"/>
        </w:rPr>
        <w:t xml:space="preserve">presented </w:t>
      </w:r>
      <w:r>
        <w:rPr>
          <w:rFonts w:ascii="Times New Roman" w:hAnsi="Times New Roman" w:cs="Times New Roman"/>
          <w:sz w:val="24"/>
          <w:szCs w:val="24"/>
        </w:rPr>
        <w:t xml:space="preserve">above </w:t>
      </w:r>
      <w:r w:rsidR="00B71C1C">
        <w:rPr>
          <w:rFonts w:ascii="Times New Roman" w:hAnsi="Times New Roman" w:cs="Times New Roman"/>
          <w:sz w:val="24"/>
          <w:szCs w:val="24"/>
        </w:rPr>
        <w:t>in cells J5 – J25.  I</w:t>
      </w:r>
      <w:r>
        <w:rPr>
          <w:rFonts w:ascii="Times New Roman" w:hAnsi="Times New Roman" w:cs="Times New Roman"/>
          <w:sz w:val="24"/>
          <w:szCs w:val="24"/>
        </w:rPr>
        <w:t>f the current date is toward the beginning of the year in which it falls, the value will be closest to the ending value of the prior year.  If it is toward the end of the year yet to be completed, the v</w:t>
      </w:r>
      <w:r w:rsidR="00120C62">
        <w:rPr>
          <w:rFonts w:ascii="Times New Roman" w:hAnsi="Times New Roman" w:cs="Times New Roman"/>
          <w:sz w:val="24"/>
          <w:szCs w:val="24"/>
        </w:rPr>
        <w:t xml:space="preserve">alue will be closer to the </w:t>
      </w:r>
      <w:r>
        <w:rPr>
          <w:rFonts w:ascii="Times New Roman" w:hAnsi="Times New Roman" w:cs="Times New Roman"/>
          <w:sz w:val="24"/>
          <w:szCs w:val="24"/>
        </w:rPr>
        <w:t>end</w:t>
      </w:r>
      <w:r w:rsidR="00120C62">
        <w:rPr>
          <w:rFonts w:ascii="Times New Roman" w:hAnsi="Times New Roman" w:cs="Times New Roman"/>
          <w:sz w:val="24"/>
          <w:szCs w:val="24"/>
        </w:rPr>
        <w:t xml:space="preserve"> of the year</w:t>
      </w:r>
      <w:r>
        <w:rPr>
          <w:rFonts w:ascii="Times New Roman" w:hAnsi="Times New Roman" w:cs="Times New Roman"/>
          <w:sz w:val="24"/>
          <w:szCs w:val="24"/>
        </w:rPr>
        <w:t xml:space="preserve"> value</w:t>
      </w:r>
      <w:r w:rsidR="00120C6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36DBE02" w14:textId="77777777" w:rsidR="00F558B7" w:rsidRDefault="00F558B7" w:rsidP="00FF0924">
      <w:pPr>
        <w:spacing w:after="0" w:line="240" w:lineRule="auto"/>
        <w:rPr>
          <w:rFonts w:ascii="Times New Roman" w:hAnsi="Times New Roman" w:cs="Times New Roman"/>
          <w:sz w:val="24"/>
          <w:szCs w:val="24"/>
        </w:rPr>
      </w:pPr>
    </w:p>
    <w:p w14:paraId="7F1B4F5F" w14:textId="04094FA1" w:rsidR="00F558B7" w:rsidRPr="00C67B99" w:rsidRDefault="00DD3454" w:rsidP="00FF0924">
      <w:pPr>
        <w:spacing w:after="0" w:line="240" w:lineRule="auto"/>
        <w:rPr>
          <w:rFonts w:ascii="Times New Roman" w:hAnsi="Times New Roman" w:cs="Times New Roman"/>
          <w:sz w:val="24"/>
          <w:szCs w:val="24"/>
        </w:rPr>
      </w:pPr>
      <w:r>
        <w:rPr>
          <w:rFonts w:ascii="Times New Roman" w:hAnsi="Times New Roman" w:cs="Times New Roman"/>
          <w:sz w:val="24"/>
          <w:szCs w:val="24"/>
        </w:rPr>
        <w:t>For individuals who are incarcerated for a nonsexual offence, they may have spent years in the community after their index sexual offence and before incarceration for the nonsexual offence.  This time prior to the incarceration for the nonsexual offence is included in the 20 residual risk estimates.  For example, Mr. Smith is released from his index sexual offence in 2010 and is reincarcerated for a nonsexual assault in 2020, serves four years</w:t>
      </w:r>
      <w:r w:rsidR="00AE358B">
        <w:rPr>
          <w:rFonts w:ascii="Times New Roman" w:hAnsi="Times New Roman" w:cs="Times New Roman"/>
          <w:sz w:val="24"/>
          <w:szCs w:val="24"/>
        </w:rPr>
        <w:t>,</w:t>
      </w:r>
      <w:r>
        <w:rPr>
          <w:rFonts w:ascii="Times New Roman" w:hAnsi="Times New Roman" w:cs="Times New Roman"/>
          <w:sz w:val="24"/>
          <w:szCs w:val="24"/>
        </w:rPr>
        <w:t xml:space="preserve"> and is released in 2024.  </w:t>
      </w:r>
      <w:r w:rsidR="00AE358B">
        <w:rPr>
          <w:rFonts w:ascii="Times New Roman" w:hAnsi="Times New Roman" w:cs="Times New Roman"/>
          <w:sz w:val="24"/>
          <w:szCs w:val="24"/>
        </w:rPr>
        <w:t xml:space="preserve">His initial lifetime risk in 2010 was 18.7% and is reduced to 6.3% in 2024 based on 10 years sexual offence free in the community between 2010 and 2020. </w:t>
      </w:r>
    </w:p>
    <w:p w14:paraId="450324A6" w14:textId="77777777" w:rsidR="007A6CCC" w:rsidRPr="006864C0" w:rsidRDefault="007A6CCC" w:rsidP="00FF0924">
      <w:pPr>
        <w:spacing w:after="0" w:line="240" w:lineRule="auto"/>
        <w:rPr>
          <w:rFonts w:ascii="Times New Roman" w:hAnsi="Times New Roman" w:cs="Times New Roman"/>
          <w:sz w:val="24"/>
          <w:szCs w:val="24"/>
        </w:rPr>
      </w:pPr>
    </w:p>
    <w:p w14:paraId="24A1C12F" w14:textId="77777777" w:rsidR="006000CF" w:rsidRDefault="006000CF" w:rsidP="006000CF">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Extrapolation for Lifetime Risk less than 20 years</w:t>
      </w:r>
      <w:r w:rsidRPr="006000CF">
        <w:rPr>
          <w:rFonts w:ascii="Times New Roman" w:hAnsi="Times New Roman" w:cs="Times New Roman"/>
          <w:sz w:val="24"/>
          <w:szCs w:val="24"/>
          <w:u w:val="single"/>
        </w:rPr>
        <w:t xml:space="preserve"> </w:t>
      </w:r>
    </w:p>
    <w:p w14:paraId="5A6E112E" w14:textId="124AB356" w:rsidR="000D77AD" w:rsidRDefault="00983C45" w:rsidP="006000CF">
      <w:pPr>
        <w:spacing w:after="0" w:line="240" w:lineRule="auto"/>
        <w:rPr>
          <w:rFonts w:ascii="Times New Roman" w:hAnsi="Times New Roman" w:cs="Times New Roman"/>
          <w:sz w:val="24"/>
          <w:szCs w:val="24"/>
        </w:rPr>
      </w:pPr>
      <w:r w:rsidRPr="00E35386">
        <w:rPr>
          <w:rFonts w:ascii="Times New Roman" w:hAnsi="Times New Roman" w:cs="Times New Roman"/>
          <w:sz w:val="24"/>
          <w:szCs w:val="24"/>
        </w:rPr>
        <w:t>Some evaluators may wish to extrapolate</w:t>
      </w:r>
      <w:r w:rsidR="00551148" w:rsidRPr="00E35386">
        <w:rPr>
          <w:rFonts w:ascii="Times New Roman" w:hAnsi="Times New Roman" w:cs="Times New Roman"/>
          <w:sz w:val="24"/>
          <w:szCs w:val="24"/>
        </w:rPr>
        <w:t xml:space="preserve"> lifetime risk for a time period less than 20 years.</w:t>
      </w:r>
      <w:r w:rsidR="00015673" w:rsidRPr="00E35386">
        <w:rPr>
          <w:rFonts w:ascii="Times New Roman" w:hAnsi="Times New Roman" w:cs="Times New Roman"/>
          <w:sz w:val="24"/>
          <w:szCs w:val="24"/>
        </w:rPr>
        <w:t xml:space="preserve">  One approach </w:t>
      </w:r>
      <w:r w:rsidR="00B854F8" w:rsidRPr="00E35386">
        <w:rPr>
          <w:rFonts w:ascii="Times New Roman" w:hAnsi="Times New Roman" w:cs="Times New Roman"/>
          <w:sz w:val="24"/>
          <w:szCs w:val="24"/>
        </w:rPr>
        <w:t xml:space="preserve">to doing so </w:t>
      </w:r>
      <w:r w:rsidR="00015673" w:rsidRPr="00E35386">
        <w:rPr>
          <w:rFonts w:ascii="Times New Roman" w:hAnsi="Times New Roman" w:cs="Times New Roman"/>
          <w:sz w:val="24"/>
          <w:szCs w:val="24"/>
        </w:rPr>
        <w:t>would be to compute</w:t>
      </w:r>
      <w:r w:rsidR="00015673">
        <w:rPr>
          <w:rFonts w:ascii="Times New Roman" w:hAnsi="Times New Roman" w:cs="Times New Roman"/>
          <w:sz w:val="24"/>
          <w:szCs w:val="24"/>
          <w:u w:val="single"/>
        </w:rPr>
        <w:t xml:space="preserve"> </w:t>
      </w:r>
      <w:r w:rsidR="00015673">
        <w:rPr>
          <w:rFonts w:ascii="Times New Roman" w:hAnsi="Times New Roman" w:cs="Times New Roman"/>
          <w:sz w:val="24"/>
          <w:szCs w:val="24"/>
        </w:rPr>
        <w:t xml:space="preserve">the cumulative survival rate across years 1 through X, or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1</m:t>
            </m:r>
          </m:sub>
          <m:sup>
            <m:r>
              <w:rPr>
                <w:rFonts w:ascii="Cambria Math" w:hAnsi="Cambria Math" w:cs="Times New Roman"/>
                <w:sz w:val="24"/>
                <w:szCs w:val="24"/>
              </w:rPr>
              <m:t>X</m:t>
            </m:r>
          </m:sup>
          <m:e>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t</m:t>
                    </m:r>
                  </m:sub>
                </m:sSub>
              </m:e>
            </m:d>
          </m:e>
        </m:nary>
      </m:oMath>
      <w:r w:rsidR="00B854F8">
        <w:rPr>
          <w:rFonts w:ascii="Times New Roman" w:hAnsi="Times New Roman" w:cs="Times New Roman"/>
          <w:sz w:val="24"/>
          <w:szCs w:val="24"/>
        </w:rPr>
        <w:t>,</w:t>
      </w:r>
      <w:r w:rsidR="00015673">
        <w:rPr>
          <w:rFonts w:ascii="Times New Roman" w:hAnsi="Times New Roman" w:cs="Times New Roman"/>
          <w:sz w:val="24"/>
          <w:szCs w:val="24"/>
        </w:rPr>
        <w:t xml:space="preserve"> where </w:t>
      </w:r>
      <w:proofErr w:type="spellStart"/>
      <w:r w:rsidR="00015673">
        <w:rPr>
          <w:rFonts w:ascii="Times New Roman" w:hAnsi="Times New Roman" w:cs="Times New Roman"/>
          <w:i/>
          <w:sz w:val="24"/>
          <w:szCs w:val="24"/>
        </w:rPr>
        <w:t>h</w:t>
      </w:r>
      <w:r w:rsidR="00015673" w:rsidRPr="000A46A6">
        <w:rPr>
          <w:rFonts w:ascii="Times New Roman" w:hAnsi="Times New Roman" w:cs="Times New Roman"/>
          <w:i/>
          <w:sz w:val="24"/>
          <w:szCs w:val="24"/>
          <w:vertAlign w:val="subscript"/>
        </w:rPr>
        <w:t>t</w:t>
      </w:r>
      <w:proofErr w:type="spellEnd"/>
      <w:r w:rsidR="00015673">
        <w:rPr>
          <w:rFonts w:ascii="Times New Roman" w:hAnsi="Times New Roman" w:cs="Times New Roman"/>
          <w:i/>
          <w:sz w:val="24"/>
          <w:szCs w:val="24"/>
          <w:vertAlign w:val="subscript"/>
        </w:rPr>
        <w:t xml:space="preserve"> </w:t>
      </w:r>
      <w:r w:rsidR="00015673">
        <w:rPr>
          <w:rFonts w:ascii="Times New Roman" w:hAnsi="Times New Roman" w:cs="Times New Roman"/>
          <w:sz w:val="24"/>
          <w:szCs w:val="24"/>
        </w:rPr>
        <w:t>is the survival rate for each year and X is the number of years the evaluator</w:t>
      </w:r>
      <w:r w:rsidR="00B854F8">
        <w:rPr>
          <w:rFonts w:ascii="Times New Roman" w:hAnsi="Times New Roman" w:cs="Times New Roman"/>
          <w:sz w:val="24"/>
          <w:szCs w:val="24"/>
        </w:rPr>
        <w:t xml:space="preserve"> wishes to extrapolate to</w:t>
      </w:r>
      <w:r w:rsidR="00015673">
        <w:rPr>
          <w:rFonts w:ascii="Times New Roman" w:hAnsi="Times New Roman" w:cs="Times New Roman"/>
          <w:sz w:val="24"/>
          <w:szCs w:val="24"/>
        </w:rPr>
        <w:t>.</w:t>
      </w:r>
      <w:r w:rsidR="00B854F8">
        <w:rPr>
          <w:rFonts w:ascii="Times New Roman" w:hAnsi="Times New Roman" w:cs="Times New Roman"/>
          <w:sz w:val="24"/>
          <w:szCs w:val="24"/>
        </w:rPr>
        <w:t xml:space="preserve">  These computations are completed in the workbook (columns AF to AX in the “</w:t>
      </w:r>
      <w:proofErr w:type="spellStart"/>
      <w:r w:rsidR="00B854F8">
        <w:rPr>
          <w:rFonts w:ascii="Times New Roman" w:hAnsi="Times New Roman" w:cs="Times New Roman"/>
          <w:sz w:val="24"/>
          <w:szCs w:val="24"/>
        </w:rPr>
        <w:t>GHR_RecidRates</w:t>
      </w:r>
      <w:proofErr w:type="spellEnd"/>
      <w:r w:rsidR="00B854F8">
        <w:rPr>
          <w:rFonts w:ascii="Times New Roman" w:hAnsi="Times New Roman" w:cs="Times New Roman"/>
          <w:sz w:val="24"/>
          <w:szCs w:val="24"/>
        </w:rPr>
        <w:t>” and “</w:t>
      </w:r>
      <w:proofErr w:type="spellStart"/>
      <w:r w:rsidR="00B854F8">
        <w:rPr>
          <w:rFonts w:ascii="Times New Roman" w:hAnsi="Times New Roman" w:cs="Times New Roman"/>
          <w:sz w:val="24"/>
          <w:szCs w:val="24"/>
        </w:rPr>
        <w:t>GHR_NS_RecidRates</w:t>
      </w:r>
      <w:proofErr w:type="spellEnd"/>
      <w:r w:rsidR="00B854F8">
        <w:rPr>
          <w:rFonts w:ascii="Times New Roman" w:hAnsi="Times New Roman" w:cs="Times New Roman"/>
          <w:sz w:val="24"/>
          <w:szCs w:val="24"/>
        </w:rPr>
        <w:t>” tabs/worksheets)</w:t>
      </w:r>
      <w:r w:rsidR="00E35386">
        <w:rPr>
          <w:rFonts w:ascii="Times New Roman" w:hAnsi="Times New Roman" w:cs="Times New Roman"/>
          <w:sz w:val="24"/>
          <w:szCs w:val="24"/>
        </w:rPr>
        <w:t xml:space="preserve">, and </w:t>
      </w:r>
      <w:r w:rsidR="000D77AD">
        <w:rPr>
          <w:rFonts w:ascii="Times New Roman" w:hAnsi="Times New Roman" w:cs="Times New Roman"/>
          <w:sz w:val="24"/>
          <w:szCs w:val="24"/>
        </w:rPr>
        <w:t xml:space="preserve">could </w:t>
      </w:r>
      <w:r w:rsidR="00B854F8">
        <w:rPr>
          <w:rFonts w:ascii="Times New Roman" w:hAnsi="Times New Roman" w:cs="Times New Roman"/>
          <w:sz w:val="24"/>
          <w:szCs w:val="24"/>
        </w:rPr>
        <w:t xml:space="preserve">be used by </w:t>
      </w:r>
      <w:r w:rsidR="001C515F">
        <w:rPr>
          <w:rFonts w:ascii="Times New Roman" w:hAnsi="Times New Roman" w:cs="Times New Roman"/>
          <w:sz w:val="24"/>
          <w:szCs w:val="24"/>
        </w:rPr>
        <w:t xml:space="preserve">evaluators with sufficient knowledge of discrete time survival methods to explain </w:t>
      </w:r>
      <w:r w:rsidR="000D77AD">
        <w:rPr>
          <w:rFonts w:ascii="Times New Roman" w:hAnsi="Times New Roman" w:cs="Times New Roman"/>
          <w:sz w:val="24"/>
          <w:szCs w:val="24"/>
        </w:rPr>
        <w:t xml:space="preserve">clearly </w:t>
      </w:r>
      <w:r w:rsidR="00143C5B">
        <w:rPr>
          <w:rFonts w:ascii="Times New Roman" w:hAnsi="Times New Roman" w:cs="Times New Roman"/>
          <w:sz w:val="24"/>
          <w:szCs w:val="24"/>
        </w:rPr>
        <w:t xml:space="preserve">why computed </w:t>
      </w:r>
      <w:r w:rsidR="001C515F">
        <w:rPr>
          <w:rFonts w:ascii="Times New Roman" w:hAnsi="Times New Roman" w:cs="Times New Roman"/>
          <w:sz w:val="24"/>
          <w:szCs w:val="24"/>
        </w:rPr>
        <w:t xml:space="preserve">lifetime risks </w:t>
      </w:r>
      <w:r w:rsidR="00143C5B">
        <w:rPr>
          <w:rFonts w:ascii="Times New Roman" w:hAnsi="Times New Roman" w:cs="Times New Roman"/>
          <w:sz w:val="24"/>
          <w:szCs w:val="24"/>
        </w:rPr>
        <w:t xml:space="preserve">vary as a function of the </w:t>
      </w:r>
      <w:r w:rsidR="000D77AD">
        <w:rPr>
          <w:rFonts w:ascii="Times New Roman" w:hAnsi="Times New Roman" w:cs="Times New Roman"/>
          <w:sz w:val="24"/>
          <w:szCs w:val="24"/>
        </w:rPr>
        <w:t>extrapolation period</w:t>
      </w:r>
      <w:r w:rsidR="00143C5B">
        <w:rPr>
          <w:rFonts w:ascii="Times New Roman" w:hAnsi="Times New Roman" w:cs="Times New Roman"/>
          <w:sz w:val="24"/>
          <w:szCs w:val="24"/>
        </w:rPr>
        <w:t xml:space="preserve"> chosen</w:t>
      </w:r>
      <w:r w:rsidR="000D77AD">
        <w:rPr>
          <w:rFonts w:ascii="Times New Roman" w:hAnsi="Times New Roman" w:cs="Times New Roman"/>
          <w:sz w:val="24"/>
          <w:szCs w:val="24"/>
        </w:rPr>
        <w:t>.</w:t>
      </w:r>
    </w:p>
    <w:p w14:paraId="3B9030BC" w14:textId="77777777" w:rsidR="009E758C" w:rsidRDefault="009E758C" w:rsidP="006000CF">
      <w:pPr>
        <w:spacing w:after="0" w:line="240" w:lineRule="auto"/>
        <w:rPr>
          <w:rFonts w:ascii="Times New Roman" w:hAnsi="Times New Roman" w:cs="Times New Roman"/>
          <w:sz w:val="24"/>
          <w:szCs w:val="24"/>
        </w:rPr>
      </w:pPr>
    </w:p>
    <w:p w14:paraId="4895FFEA" w14:textId="42AC7E25" w:rsidR="009E758C" w:rsidRDefault="009E758C" w:rsidP="006000C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For example, consider the following case, who was estimated to have a 5-year sexual recidivism risk of 23.0% at his release date of March 1, 20</w:t>
      </w:r>
      <w:r w:rsidR="00AB4B78">
        <w:rPr>
          <w:rFonts w:ascii="Times New Roman" w:hAnsi="Times New Roman" w:cs="Times New Roman"/>
          <w:sz w:val="24"/>
          <w:szCs w:val="24"/>
        </w:rPr>
        <w:t>18</w:t>
      </w:r>
      <w:r>
        <w:rPr>
          <w:rFonts w:ascii="Times New Roman" w:hAnsi="Times New Roman" w:cs="Times New Roman"/>
          <w:sz w:val="24"/>
          <w:szCs w:val="24"/>
        </w:rPr>
        <w:t xml:space="preserve">.  He has no new nonsexual convictions, nor has he been removed from the community since release.  </w:t>
      </w:r>
      <w:r w:rsidR="00AD42B0">
        <w:rPr>
          <w:rFonts w:ascii="Times New Roman" w:hAnsi="Times New Roman" w:cs="Times New Roman"/>
          <w:sz w:val="24"/>
          <w:szCs w:val="24"/>
        </w:rPr>
        <w:t>H</w:t>
      </w:r>
      <w:r>
        <w:rPr>
          <w:rFonts w:ascii="Times New Roman" w:hAnsi="Times New Roman" w:cs="Times New Roman"/>
          <w:sz w:val="24"/>
          <w:szCs w:val="24"/>
        </w:rPr>
        <w:t xml:space="preserve">is lifetime risk was estimated as 39.9% at time of release.  As of February 28, 2024 (the assessment date), he would have been </w:t>
      </w:r>
      <w:r w:rsidR="00AB4B78">
        <w:rPr>
          <w:rFonts w:ascii="Times New Roman" w:hAnsi="Times New Roman" w:cs="Times New Roman"/>
          <w:sz w:val="24"/>
          <w:szCs w:val="24"/>
        </w:rPr>
        <w:t>6</w:t>
      </w:r>
      <w:r>
        <w:rPr>
          <w:rFonts w:ascii="Times New Roman" w:hAnsi="Times New Roman" w:cs="Times New Roman"/>
          <w:sz w:val="24"/>
          <w:szCs w:val="24"/>
        </w:rPr>
        <w:t xml:space="preserve"> years sexual offence free in the community (starting his </w:t>
      </w:r>
      <w:r w:rsidR="00AB4B78">
        <w:rPr>
          <w:rFonts w:ascii="Times New Roman" w:hAnsi="Times New Roman" w:cs="Times New Roman"/>
          <w:sz w:val="24"/>
          <w:szCs w:val="24"/>
        </w:rPr>
        <w:t>7th</w:t>
      </w:r>
      <w:r>
        <w:rPr>
          <w:rFonts w:ascii="Times New Roman" w:hAnsi="Times New Roman" w:cs="Times New Roman"/>
          <w:sz w:val="24"/>
          <w:szCs w:val="24"/>
        </w:rPr>
        <w:t xml:space="preserve"> year).  His 20</w:t>
      </w:r>
      <w:r w:rsidR="00AB4B78">
        <w:rPr>
          <w:rFonts w:ascii="Times New Roman" w:hAnsi="Times New Roman" w:cs="Times New Roman"/>
          <w:sz w:val="24"/>
          <w:szCs w:val="24"/>
        </w:rPr>
        <w:t>-</w:t>
      </w:r>
      <w:r>
        <w:rPr>
          <w:rFonts w:ascii="Times New Roman" w:hAnsi="Times New Roman" w:cs="Times New Roman"/>
          <w:sz w:val="24"/>
          <w:szCs w:val="24"/>
        </w:rPr>
        <w:t xml:space="preserve">year residual risk would be </w:t>
      </w:r>
      <w:r w:rsidR="00AB4B78">
        <w:rPr>
          <w:rFonts w:ascii="Times New Roman" w:hAnsi="Times New Roman" w:cs="Times New Roman"/>
          <w:sz w:val="24"/>
          <w:szCs w:val="24"/>
        </w:rPr>
        <w:t>19.2</w:t>
      </w:r>
      <w:r>
        <w:rPr>
          <w:rFonts w:ascii="Times New Roman" w:hAnsi="Times New Roman" w:cs="Times New Roman"/>
          <w:sz w:val="24"/>
          <w:szCs w:val="24"/>
        </w:rPr>
        <w:t xml:space="preserve">%.  For case management purposes, the evaluator is interested in knowing his current 5-year sexual recidivism risk.   </w:t>
      </w:r>
    </w:p>
    <w:p w14:paraId="0125A09E" w14:textId="77777777" w:rsidR="009E758C" w:rsidRDefault="009E758C" w:rsidP="006000CF">
      <w:pPr>
        <w:spacing w:after="0" w:line="240" w:lineRule="auto"/>
        <w:rPr>
          <w:rFonts w:ascii="Times New Roman" w:hAnsi="Times New Roman" w:cs="Times New Roman"/>
          <w:sz w:val="24"/>
          <w:szCs w:val="24"/>
        </w:rPr>
      </w:pPr>
    </w:p>
    <w:p w14:paraId="2F407E87" w14:textId="77777777" w:rsidR="00AB4B78" w:rsidRDefault="009E758C" w:rsidP="006000CF">
      <w:pPr>
        <w:spacing w:after="0" w:line="240" w:lineRule="auto"/>
        <w:rPr>
          <w:rFonts w:ascii="Times New Roman" w:hAnsi="Times New Roman" w:cs="Times New Roman"/>
          <w:sz w:val="24"/>
          <w:szCs w:val="24"/>
        </w:rPr>
      </w:pPr>
      <w:r>
        <w:rPr>
          <w:rFonts w:ascii="Times New Roman" w:hAnsi="Times New Roman" w:cs="Times New Roman"/>
          <w:sz w:val="24"/>
          <w:szCs w:val="24"/>
        </w:rPr>
        <w:t>To obtain his current 5-year sexual recidivism risk, go to the sheet labelled “</w:t>
      </w:r>
      <w:proofErr w:type="spellStart"/>
      <w:r>
        <w:rPr>
          <w:rFonts w:ascii="Times New Roman" w:hAnsi="Times New Roman" w:cs="Times New Roman"/>
          <w:sz w:val="24"/>
          <w:szCs w:val="24"/>
        </w:rPr>
        <w:t>GHR_RecidRates</w:t>
      </w:r>
      <w:proofErr w:type="spellEnd"/>
      <w:r>
        <w:rPr>
          <w:rFonts w:ascii="Times New Roman" w:hAnsi="Times New Roman" w:cs="Times New Roman"/>
          <w:sz w:val="24"/>
          <w:szCs w:val="24"/>
        </w:rPr>
        <w:t xml:space="preserve">”.  </w:t>
      </w:r>
      <w:r w:rsidR="00AB4B78">
        <w:rPr>
          <w:rFonts w:ascii="Times New Roman" w:hAnsi="Times New Roman" w:cs="Times New Roman"/>
          <w:sz w:val="24"/>
          <w:szCs w:val="24"/>
        </w:rPr>
        <w:t xml:space="preserve">The hazard rates for each year are listed in Column D “Hazard rate”, and the yearly survival rates are in Column E.  The 5-year survival rate beginning in Year 7 can be obtained by multiply the survival rates for years 7, 8, 9, 10, and 11.  In Column E, there are the values </w:t>
      </w:r>
    </w:p>
    <w:p w14:paraId="675DE494" w14:textId="77777777" w:rsidR="00AB4B78" w:rsidRDefault="00AB4B78" w:rsidP="006000CF">
      <w:pPr>
        <w:spacing w:after="0" w:line="240" w:lineRule="auto"/>
        <w:rPr>
          <w:rFonts w:ascii="Times New Roman" w:hAnsi="Times New Roman" w:cs="Times New Roman"/>
          <w:sz w:val="24"/>
          <w:szCs w:val="24"/>
        </w:rPr>
      </w:pPr>
    </w:p>
    <w:tbl>
      <w:tblPr>
        <w:tblW w:w="1556" w:type="dxa"/>
        <w:tblInd w:w="108" w:type="dxa"/>
        <w:tblLook w:val="04A0" w:firstRow="1" w:lastRow="0" w:firstColumn="1" w:lastColumn="0" w:noHBand="0" w:noVBand="1"/>
      </w:tblPr>
      <w:tblGrid>
        <w:gridCol w:w="1556"/>
      </w:tblGrid>
      <w:tr w:rsidR="00AB4B78" w:rsidRPr="00AB4B78" w14:paraId="14EE4324" w14:textId="77777777" w:rsidTr="00AB4B78">
        <w:trPr>
          <w:trHeight w:val="300"/>
        </w:trPr>
        <w:tc>
          <w:tcPr>
            <w:tcW w:w="1556" w:type="dxa"/>
            <w:tcBorders>
              <w:top w:val="nil"/>
              <w:left w:val="nil"/>
              <w:bottom w:val="nil"/>
              <w:right w:val="nil"/>
            </w:tcBorders>
            <w:shd w:val="clear" w:color="auto" w:fill="auto"/>
            <w:noWrap/>
            <w:vAlign w:val="bottom"/>
            <w:hideMark/>
          </w:tcPr>
          <w:p w14:paraId="5842C78D" w14:textId="77777777" w:rsidR="00AB4B78" w:rsidRPr="00AB4B78" w:rsidRDefault="00AB4B78" w:rsidP="00AB4B78">
            <w:pPr>
              <w:spacing w:after="0" w:line="240" w:lineRule="auto"/>
              <w:jc w:val="right"/>
              <w:rPr>
                <w:rFonts w:ascii="Calibri" w:eastAsia="Times New Roman" w:hAnsi="Calibri" w:cs="Calibri"/>
                <w:color w:val="000000"/>
                <w:lang w:val="en-CA" w:eastAsia="en-CA"/>
              </w:rPr>
            </w:pPr>
            <w:r w:rsidRPr="00AB4B78">
              <w:rPr>
                <w:rFonts w:ascii="Calibri" w:eastAsia="Times New Roman" w:hAnsi="Calibri" w:cs="Calibri"/>
                <w:color w:val="000000"/>
                <w:lang w:val="en-CA" w:eastAsia="en-CA"/>
              </w:rPr>
              <w:t>0.969550717</w:t>
            </w:r>
          </w:p>
        </w:tc>
      </w:tr>
      <w:tr w:rsidR="00AB4B78" w:rsidRPr="00AB4B78" w14:paraId="77D93DB3" w14:textId="77777777" w:rsidTr="00AB4B78">
        <w:trPr>
          <w:trHeight w:val="300"/>
        </w:trPr>
        <w:tc>
          <w:tcPr>
            <w:tcW w:w="1556" w:type="dxa"/>
            <w:tcBorders>
              <w:top w:val="nil"/>
              <w:left w:val="nil"/>
              <w:bottom w:val="nil"/>
              <w:right w:val="nil"/>
            </w:tcBorders>
            <w:shd w:val="clear" w:color="auto" w:fill="auto"/>
            <w:noWrap/>
            <w:vAlign w:val="bottom"/>
            <w:hideMark/>
          </w:tcPr>
          <w:p w14:paraId="13928A88" w14:textId="77777777" w:rsidR="00AB4B78" w:rsidRPr="00AB4B78" w:rsidRDefault="00AB4B78" w:rsidP="00AB4B78">
            <w:pPr>
              <w:spacing w:after="0" w:line="240" w:lineRule="auto"/>
              <w:jc w:val="right"/>
              <w:rPr>
                <w:rFonts w:ascii="Calibri" w:eastAsia="Times New Roman" w:hAnsi="Calibri" w:cs="Calibri"/>
                <w:color w:val="000000"/>
                <w:lang w:val="en-CA" w:eastAsia="en-CA"/>
              </w:rPr>
            </w:pPr>
            <w:r w:rsidRPr="00AB4B78">
              <w:rPr>
                <w:rFonts w:ascii="Calibri" w:eastAsia="Times New Roman" w:hAnsi="Calibri" w:cs="Calibri"/>
                <w:color w:val="000000"/>
                <w:lang w:val="en-CA" w:eastAsia="en-CA"/>
              </w:rPr>
              <w:t>0.973163007</w:t>
            </w:r>
          </w:p>
        </w:tc>
      </w:tr>
      <w:tr w:rsidR="00AB4B78" w:rsidRPr="00AB4B78" w14:paraId="5C8B2271" w14:textId="77777777" w:rsidTr="00AB4B78">
        <w:trPr>
          <w:trHeight w:val="300"/>
        </w:trPr>
        <w:tc>
          <w:tcPr>
            <w:tcW w:w="1556" w:type="dxa"/>
            <w:tcBorders>
              <w:top w:val="nil"/>
              <w:left w:val="nil"/>
              <w:bottom w:val="nil"/>
              <w:right w:val="nil"/>
            </w:tcBorders>
            <w:shd w:val="clear" w:color="auto" w:fill="auto"/>
            <w:noWrap/>
            <w:vAlign w:val="bottom"/>
            <w:hideMark/>
          </w:tcPr>
          <w:p w14:paraId="6420E201" w14:textId="77777777" w:rsidR="00AB4B78" w:rsidRPr="00AB4B78" w:rsidRDefault="00AB4B78" w:rsidP="00AB4B78">
            <w:pPr>
              <w:spacing w:after="0" w:line="240" w:lineRule="auto"/>
              <w:jc w:val="right"/>
              <w:rPr>
                <w:rFonts w:ascii="Calibri" w:eastAsia="Times New Roman" w:hAnsi="Calibri" w:cs="Calibri"/>
                <w:color w:val="000000"/>
                <w:lang w:val="en-CA" w:eastAsia="en-CA"/>
              </w:rPr>
            </w:pPr>
            <w:r w:rsidRPr="00AB4B78">
              <w:rPr>
                <w:rFonts w:ascii="Calibri" w:eastAsia="Times New Roman" w:hAnsi="Calibri" w:cs="Calibri"/>
                <w:color w:val="000000"/>
                <w:lang w:val="en-CA" w:eastAsia="en-CA"/>
              </w:rPr>
              <w:t>0.976357211</w:t>
            </w:r>
          </w:p>
        </w:tc>
      </w:tr>
      <w:tr w:rsidR="00AB4B78" w:rsidRPr="00AB4B78" w14:paraId="247203AD" w14:textId="77777777" w:rsidTr="00AB4B78">
        <w:trPr>
          <w:trHeight w:val="300"/>
        </w:trPr>
        <w:tc>
          <w:tcPr>
            <w:tcW w:w="1556" w:type="dxa"/>
            <w:tcBorders>
              <w:top w:val="nil"/>
              <w:left w:val="nil"/>
              <w:bottom w:val="nil"/>
              <w:right w:val="nil"/>
            </w:tcBorders>
            <w:shd w:val="clear" w:color="auto" w:fill="auto"/>
            <w:noWrap/>
            <w:vAlign w:val="bottom"/>
            <w:hideMark/>
          </w:tcPr>
          <w:p w14:paraId="60B54056" w14:textId="77777777" w:rsidR="00AB4B78" w:rsidRPr="00AB4B78" w:rsidRDefault="00AB4B78" w:rsidP="00AB4B78">
            <w:pPr>
              <w:spacing w:after="0" w:line="240" w:lineRule="auto"/>
              <w:jc w:val="right"/>
              <w:rPr>
                <w:rFonts w:ascii="Calibri" w:eastAsia="Times New Roman" w:hAnsi="Calibri" w:cs="Calibri"/>
                <w:color w:val="000000"/>
                <w:lang w:val="en-CA" w:eastAsia="en-CA"/>
              </w:rPr>
            </w:pPr>
            <w:r w:rsidRPr="00AB4B78">
              <w:rPr>
                <w:rFonts w:ascii="Calibri" w:eastAsia="Times New Roman" w:hAnsi="Calibri" w:cs="Calibri"/>
                <w:color w:val="000000"/>
                <w:lang w:val="en-CA" w:eastAsia="en-CA"/>
              </w:rPr>
              <w:t>0.979179366</w:t>
            </w:r>
          </w:p>
        </w:tc>
      </w:tr>
      <w:tr w:rsidR="00AB4B78" w:rsidRPr="00AB4B78" w14:paraId="3F0C29BE" w14:textId="77777777" w:rsidTr="00AB4B78">
        <w:trPr>
          <w:trHeight w:val="300"/>
        </w:trPr>
        <w:tc>
          <w:tcPr>
            <w:tcW w:w="1556" w:type="dxa"/>
            <w:tcBorders>
              <w:top w:val="nil"/>
              <w:left w:val="nil"/>
              <w:bottom w:val="nil"/>
              <w:right w:val="nil"/>
            </w:tcBorders>
            <w:shd w:val="clear" w:color="auto" w:fill="auto"/>
            <w:noWrap/>
            <w:vAlign w:val="bottom"/>
            <w:hideMark/>
          </w:tcPr>
          <w:p w14:paraId="4503D4EC" w14:textId="77777777" w:rsidR="00AB4B78" w:rsidRPr="00AB4B78" w:rsidRDefault="00AB4B78" w:rsidP="00AB4B78">
            <w:pPr>
              <w:spacing w:after="0" w:line="240" w:lineRule="auto"/>
              <w:jc w:val="right"/>
              <w:rPr>
                <w:rFonts w:ascii="Calibri" w:eastAsia="Times New Roman" w:hAnsi="Calibri" w:cs="Calibri"/>
                <w:color w:val="000000"/>
                <w:lang w:val="en-CA" w:eastAsia="en-CA"/>
              </w:rPr>
            </w:pPr>
            <w:r w:rsidRPr="00AB4B78">
              <w:rPr>
                <w:rFonts w:ascii="Calibri" w:eastAsia="Times New Roman" w:hAnsi="Calibri" w:cs="Calibri"/>
                <w:color w:val="000000"/>
                <w:lang w:val="en-CA" w:eastAsia="en-CA"/>
              </w:rPr>
              <w:t>0.981670975</w:t>
            </w:r>
          </w:p>
        </w:tc>
      </w:tr>
    </w:tbl>
    <w:p w14:paraId="35F78247" w14:textId="41DF5158" w:rsidR="009E758C" w:rsidRDefault="009E758C" w:rsidP="006000CF">
      <w:pPr>
        <w:spacing w:after="0" w:line="240" w:lineRule="auto"/>
        <w:rPr>
          <w:rFonts w:ascii="Times New Roman" w:hAnsi="Times New Roman" w:cs="Times New Roman"/>
          <w:sz w:val="24"/>
          <w:szCs w:val="24"/>
        </w:rPr>
      </w:pPr>
    </w:p>
    <w:p w14:paraId="162752E4" w14:textId="3FF68250" w:rsidR="00AB4B78" w:rsidRDefault="00AB4B78" w:rsidP="006000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multiplied together, it provides a cumulative survival rate of 0.8855092, which corresponds to a failure rate of 1 - </w:t>
      </w:r>
      <w:r w:rsidRPr="00AB4B78">
        <w:rPr>
          <w:rFonts w:ascii="Times New Roman" w:hAnsi="Times New Roman" w:cs="Times New Roman"/>
          <w:sz w:val="24"/>
          <w:szCs w:val="24"/>
        </w:rPr>
        <w:t>0.8855092</w:t>
      </w:r>
      <w:r>
        <w:rPr>
          <w:rFonts w:ascii="Times New Roman" w:hAnsi="Times New Roman" w:cs="Times New Roman"/>
          <w:sz w:val="24"/>
          <w:szCs w:val="24"/>
        </w:rPr>
        <w:t xml:space="preserve"> = 0.1144908, or 11.5%.  </w:t>
      </w:r>
      <w:r w:rsidR="00AD42B0">
        <w:rPr>
          <w:rFonts w:ascii="Times New Roman" w:hAnsi="Times New Roman" w:cs="Times New Roman"/>
          <w:sz w:val="24"/>
          <w:szCs w:val="24"/>
        </w:rPr>
        <w:t>In other words, his 5-year risk is half what it would have been at the time of release.</w:t>
      </w:r>
    </w:p>
    <w:p w14:paraId="2A0DEE15" w14:textId="77777777" w:rsidR="00872881" w:rsidRDefault="00872881" w:rsidP="006000CF">
      <w:pPr>
        <w:spacing w:after="0" w:line="240" w:lineRule="auto"/>
        <w:rPr>
          <w:rFonts w:ascii="Times New Roman" w:hAnsi="Times New Roman" w:cs="Times New Roman"/>
          <w:sz w:val="24"/>
          <w:szCs w:val="24"/>
        </w:rPr>
      </w:pPr>
    </w:p>
    <w:p w14:paraId="2C056EAC" w14:textId="118B0C58" w:rsidR="00872881" w:rsidRDefault="00872881" w:rsidP="006000CF">
      <w:pPr>
        <w:spacing w:after="0" w:line="240" w:lineRule="auto"/>
        <w:rPr>
          <w:rFonts w:ascii="Times New Roman" w:hAnsi="Times New Roman" w:cs="Times New Roman"/>
          <w:sz w:val="24"/>
          <w:szCs w:val="24"/>
        </w:rPr>
      </w:pPr>
      <w:r>
        <w:rPr>
          <w:rFonts w:ascii="Times New Roman" w:hAnsi="Times New Roman" w:cs="Times New Roman"/>
          <w:sz w:val="24"/>
          <w:szCs w:val="24"/>
        </w:rPr>
        <w:t>The cumulative survival rate (0.885509) can also be found as the fifth entry</w:t>
      </w:r>
      <w:r w:rsidR="00AD42B0">
        <w:rPr>
          <w:rFonts w:ascii="Times New Roman" w:hAnsi="Times New Roman" w:cs="Times New Roman"/>
          <w:sz w:val="24"/>
          <w:szCs w:val="24"/>
        </w:rPr>
        <w:t xml:space="preserve"> (Year 11)</w:t>
      </w:r>
      <w:r>
        <w:rPr>
          <w:rFonts w:ascii="Times New Roman" w:hAnsi="Times New Roman" w:cs="Times New Roman"/>
          <w:sz w:val="24"/>
          <w:szCs w:val="24"/>
        </w:rPr>
        <w:t xml:space="preserve"> in Column P (6 years sexual offence free).  Columns J</w:t>
      </w:r>
      <w:r w:rsidR="00AD42B0">
        <w:rPr>
          <w:rFonts w:ascii="Times New Roman" w:hAnsi="Times New Roman" w:cs="Times New Roman"/>
          <w:sz w:val="24"/>
          <w:szCs w:val="24"/>
        </w:rPr>
        <w:t xml:space="preserve"> (0)</w:t>
      </w:r>
      <w:r>
        <w:rPr>
          <w:rFonts w:ascii="Times New Roman" w:hAnsi="Times New Roman" w:cs="Times New Roman"/>
          <w:sz w:val="24"/>
          <w:szCs w:val="24"/>
        </w:rPr>
        <w:t xml:space="preserve"> through </w:t>
      </w:r>
      <w:r w:rsidR="00AD42B0">
        <w:rPr>
          <w:rFonts w:ascii="Times New Roman" w:hAnsi="Times New Roman" w:cs="Times New Roman"/>
          <w:sz w:val="24"/>
          <w:szCs w:val="24"/>
        </w:rPr>
        <w:t>AC (19)</w:t>
      </w:r>
      <w:r>
        <w:rPr>
          <w:rFonts w:ascii="Times New Roman" w:hAnsi="Times New Roman" w:cs="Times New Roman"/>
          <w:sz w:val="24"/>
          <w:szCs w:val="24"/>
        </w:rPr>
        <w:t xml:space="preserve"> reports the cumulative, yearly survival rates at different time free periods, ranging from zero to 19 years.  </w:t>
      </w:r>
    </w:p>
    <w:p w14:paraId="335C9EB2" w14:textId="77777777" w:rsidR="00143C5B" w:rsidRDefault="00143C5B" w:rsidP="006000CF">
      <w:pPr>
        <w:spacing w:after="0" w:line="240" w:lineRule="auto"/>
        <w:rPr>
          <w:rFonts w:ascii="Times New Roman" w:hAnsi="Times New Roman" w:cs="Times New Roman"/>
          <w:sz w:val="24"/>
          <w:szCs w:val="24"/>
        </w:rPr>
      </w:pPr>
    </w:p>
    <w:p w14:paraId="2F95C272" w14:textId="35C74FD4" w:rsidR="00B71C1C" w:rsidRPr="00AF2290" w:rsidRDefault="00E35386" w:rsidP="00E35386">
      <w:pPr>
        <w:jc w:val="center"/>
        <w:rPr>
          <w:rFonts w:ascii="Times New Roman" w:hAnsi="Times New Roman" w:cs="Times New Roman"/>
          <w:sz w:val="24"/>
          <w:szCs w:val="24"/>
        </w:rPr>
      </w:pPr>
      <w:r>
        <w:rPr>
          <w:rFonts w:ascii="Times New Roman" w:hAnsi="Times New Roman" w:cs="Times New Roman"/>
          <w:sz w:val="24"/>
          <w:szCs w:val="24"/>
        </w:rPr>
        <w:br w:type="page"/>
      </w:r>
      <w:r w:rsidR="009A4115">
        <w:rPr>
          <w:rFonts w:ascii="Times New Roman" w:hAnsi="Times New Roman" w:cs="Times New Roman"/>
          <w:sz w:val="24"/>
          <w:szCs w:val="24"/>
        </w:rPr>
        <w:lastRenderedPageBreak/>
        <w:t>References</w:t>
      </w:r>
    </w:p>
    <w:p w14:paraId="1F515F37" w14:textId="3341DFE4" w:rsidR="00B71C1C" w:rsidRPr="004D3B2A" w:rsidRDefault="00B71C1C" w:rsidP="00672D27">
      <w:pPr>
        <w:spacing w:after="0" w:line="240" w:lineRule="auto"/>
        <w:ind w:left="720" w:hanging="720"/>
        <w:rPr>
          <w:rFonts w:ascii="Times New Roman" w:eastAsia="Times New Roman" w:hAnsi="Times New Roman" w:cs="Times New Roman"/>
          <w:color w:val="222222"/>
          <w:sz w:val="24"/>
          <w:szCs w:val="24"/>
          <w:lang w:val="en-CA" w:eastAsia="en-CA"/>
        </w:rPr>
      </w:pPr>
      <w:r w:rsidRPr="004D3B2A">
        <w:rPr>
          <w:rFonts w:ascii="Times New Roman" w:eastAsia="Times New Roman" w:hAnsi="Times New Roman" w:cs="Times New Roman"/>
          <w:color w:val="222222"/>
          <w:sz w:val="24"/>
          <w:szCs w:val="24"/>
          <w:lang w:val="en-CA" w:eastAsia="en-CA"/>
        </w:rPr>
        <w:t xml:space="preserve">Hanson, R. K., Harris, A. J., Letourneau, E., Helmus, L. M., &amp; Thornton, D. (2018). Reductions in risk based on time offense-free in the community: Once a sexual offender, not always a sexual offender. </w:t>
      </w:r>
      <w:r w:rsidRPr="004D3B2A">
        <w:rPr>
          <w:rFonts w:ascii="Times New Roman" w:eastAsia="Times New Roman" w:hAnsi="Times New Roman" w:cs="Times New Roman"/>
          <w:i/>
          <w:iCs/>
          <w:color w:val="222222"/>
          <w:sz w:val="24"/>
          <w:szCs w:val="24"/>
          <w:lang w:val="en-CA" w:eastAsia="en-CA"/>
        </w:rPr>
        <w:t>Psychology, Public Policy, and Law</w:t>
      </w:r>
      <w:r w:rsidRPr="004D3B2A">
        <w:rPr>
          <w:rFonts w:ascii="Times New Roman" w:eastAsia="Times New Roman" w:hAnsi="Times New Roman" w:cs="Times New Roman"/>
          <w:color w:val="222222"/>
          <w:sz w:val="24"/>
          <w:szCs w:val="24"/>
          <w:lang w:val="en-CA" w:eastAsia="en-CA"/>
        </w:rPr>
        <w:t xml:space="preserve">, </w:t>
      </w:r>
      <w:r w:rsidRPr="004D3B2A">
        <w:rPr>
          <w:rFonts w:ascii="Times New Roman" w:eastAsia="Times New Roman" w:hAnsi="Times New Roman" w:cs="Times New Roman"/>
          <w:i/>
          <w:iCs/>
          <w:color w:val="222222"/>
          <w:sz w:val="24"/>
          <w:szCs w:val="24"/>
          <w:lang w:val="en-CA" w:eastAsia="en-CA"/>
        </w:rPr>
        <w:t>24</w:t>
      </w:r>
      <w:r w:rsidRPr="004D3B2A">
        <w:rPr>
          <w:rFonts w:ascii="Times New Roman" w:eastAsia="Times New Roman" w:hAnsi="Times New Roman" w:cs="Times New Roman"/>
          <w:color w:val="222222"/>
          <w:sz w:val="24"/>
          <w:szCs w:val="24"/>
          <w:lang w:val="en-CA" w:eastAsia="en-CA"/>
        </w:rPr>
        <w:t>(1), 48</w:t>
      </w:r>
      <w:r w:rsidR="00983C45" w:rsidRPr="004D3B2A">
        <w:rPr>
          <w:rFonts w:ascii="Times New Roman" w:eastAsia="Times New Roman" w:hAnsi="Times New Roman" w:cs="Times New Roman"/>
          <w:color w:val="222222"/>
          <w:sz w:val="24"/>
          <w:szCs w:val="24"/>
          <w:lang w:val="en-CA" w:eastAsia="en-CA"/>
        </w:rPr>
        <w:t>-63</w:t>
      </w:r>
      <w:r w:rsidRPr="004D3B2A">
        <w:rPr>
          <w:rFonts w:ascii="Times New Roman" w:eastAsia="Times New Roman" w:hAnsi="Times New Roman" w:cs="Times New Roman"/>
          <w:color w:val="222222"/>
          <w:sz w:val="24"/>
          <w:szCs w:val="24"/>
          <w:lang w:val="en-CA" w:eastAsia="en-CA"/>
        </w:rPr>
        <w:t>.</w:t>
      </w:r>
      <w:r w:rsidR="00DE700D" w:rsidRPr="004D3B2A">
        <w:rPr>
          <w:rFonts w:ascii="Times New Roman" w:eastAsia="Times New Roman" w:hAnsi="Times New Roman" w:cs="Times New Roman"/>
          <w:color w:val="222222"/>
          <w:sz w:val="24"/>
          <w:szCs w:val="24"/>
          <w:lang w:val="en-CA" w:eastAsia="en-CA"/>
        </w:rPr>
        <w:t xml:space="preserve"> </w:t>
      </w:r>
      <w:r w:rsidR="00ED6594">
        <w:rPr>
          <w:rFonts w:ascii="Times New Roman" w:eastAsia="Times New Roman" w:hAnsi="Times New Roman" w:cs="Times New Roman"/>
          <w:color w:val="222222"/>
          <w:sz w:val="24"/>
          <w:szCs w:val="24"/>
          <w:lang w:val="en-CA" w:eastAsia="en-CA"/>
        </w:rPr>
        <w:t>https://</w:t>
      </w:r>
      <w:r w:rsidR="00ED6594">
        <w:rPr>
          <w:rFonts w:ascii="Times New Roman" w:hAnsi="Times New Roman" w:cs="Times New Roman"/>
          <w:sz w:val="24"/>
          <w:szCs w:val="24"/>
          <w:lang w:val="en-CA" w:eastAsia="en-CA"/>
        </w:rPr>
        <w:t>doi.org/</w:t>
      </w:r>
      <w:r w:rsidR="004D3B2A" w:rsidRPr="004D3B2A">
        <w:rPr>
          <w:rFonts w:ascii="Times New Roman" w:hAnsi="Times New Roman" w:cs="Times New Roman"/>
          <w:sz w:val="24"/>
          <w:szCs w:val="24"/>
          <w:lang w:val="en-CA" w:eastAsia="en-CA"/>
        </w:rPr>
        <w:t>10.1037/law0000135</w:t>
      </w:r>
    </w:p>
    <w:p w14:paraId="0FBE859E" w14:textId="77777777" w:rsidR="0079580A" w:rsidRPr="004D3B2A" w:rsidRDefault="0079580A" w:rsidP="00672D27">
      <w:pPr>
        <w:spacing w:after="0" w:line="240" w:lineRule="auto"/>
        <w:ind w:left="720" w:hanging="720"/>
        <w:rPr>
          <w:rFonts w:ascii="Times New Roman" w:hAnsi="Times New Roman" w:cs="Times New Roman"/>
          <w:sz w:val="24"/>
          <w:szCs w:val="24"/>
        </w:rPr>
      </w:pPr>
    </w:p>
    <w:p w14:paraId="4AAD1CB8" w14:textId="0AC32138" w:rsidR="00A8304F" w:rsidRDefault="006D25CC" w:rsidP="00672D27">
      <w:pPr>
        <w:spacing w:after="0" w:line="240" w:lineRule="auto"/>
        <w:ind w:left="720" w:hanging="720"/>
        <w:rPr>
          <w:rFonts w:ascii="Times New Roman" w:hAnsi="Times New Roman" w:cs="Times New Roman"/>
          <w:color w:val="000000"/>
          <w:sz w:val="24"/>
          <w:szCs w:val="24"/>
          <w:lang w:val="de-DE"/>
        </w:rPr>
      </w:pPr>
      <w:r w:rsidRPr="004D3B2A">
        <w:rPr>
          <w:rFonts w:ascii="Times New Roman" w:eastAsia="Times New Roman" w:hAnsi="Times New Roman" w:cs="Times New Roman"/>
          <w:color w:val="222222"/>
          <w:sz w:val="24"/>
          <w:szCs w:val="24"/>
          <w:lang w:val="en-CA" w:eastAsia="en-CA"/>
        </w:rPr>
        <w:t xml:space="preserve">Hanson, R. K., Thornton, D., Helmus, L. M., &amp; </w:t>
      </w:r>
      <w:proofErr w:type="spellStart"/>
      <w:r w:rsidRPr="004D3B2A">
        <w:rPr>
          <w:rFonts w:ascii="Times New Roman" w:eastAsia="Times New Roman" w:hAnsi="Times New Roman" w:cs="Times New Roman"/>
          <w:color w:val="222222"/>
          <w:sz w:val="24"/>
          <w:szCs w:val="24"/>
          <w:lang w:val="en-CA" w:eastAsia="en-CA"/>
        </w:rPr>
        <w:t>Babchishin</w:t>
      </w:r>
      <w:proofErr w:type="spellEnd"/>
      <w:r w:rsidRPr="004D3B2A">
        <w:rPr>
          <w:rFonts w:ascii="Times New Roman" w:eastAsia="Times New Roman" w:hAnsi="Times New Roman" w:cs="Times New Roman"/>
          <w:color w:val="222222"/>
          <w:sz w:val="24"/>
          <w:szCs w:val="24"/>
          <w:lang w:val="en-CA" w:eastAsia="en-CA"/>
        </w:rPr>
        <w:t>, K. M. (2016). What sexual recidivism rates are associated with Stat</w:t>
      </w:r>
      <w:r w:rsidR="00A8304F" w:rsidRPr="004D3B2A">
        <w:rPr>
          <w:rFonts w:ascii="Times New Roman" w:eastAsia="Times New Roman" w:hAnsi="Times New Roman" w:cs="Times New Roman"/>
          <w:color w:val="222222"/>
          <w:sz w:val="24"/>
          <w:szCs w:val="24"/>
          <w:lang w:val="en-CA" w:eastAsia="en-CA"/>
        </w:rPr>
        <w:t>ic-99R and Static-2002R scores?</w:t>
      </w:r>
      <w:r w:rsidRPr="004D3B2A">
        <w:rPr>
          <w:rFonts w:ascii="Times New Roman" w:eastAsia="Times New Roman" w:hAnsi="Times New Roman" w:cs="Times New Roman"/>
          <w:color w:val="222222"/>
          <w:sz w:val="24"/>
          <w:szCs w:val="24"/>
          <w:lang w:val="en-CA" w:eastAsia="en-CA"/>
        </w:rPr>
        <w:t xml:space="preserve"> </w:t>
      </w:r>
      <w:r w:rsidRPr="003608FA">
        <w:rPr>
          <w:rFonts w:ascii="Times New Roman" w:eastAsia="Times New Roman" w:hAnsi="Times New Roman" w:cs="Times New Roman"/>
          <w:i/>
          <w:iCs/>
          <w:color w:val="222222"/>
          <w:sz w:val="24"/>
          <w:szCs w:val="24"/>
          <w:lang w:val="en-CA" w:eastAsia="en-CA"/>
        </w:rPr>
        <w:t>Sexual Abuse</w:t>
      </w:r>
      <w:r w:rsidRPr="003608FA">
        <w:rPr>
          <w:rFonts w:ascii="Times New Roman" w:eastAsia="Times New Roman" w:hAnsi="Times New Roman" w:cs="Times New Roman"/>
          <w:color w:val="222222"/>
          <w:sz w:val="24"/>
          <w:szCs w:val="24"/>
          <w:lang w:val="en-CA" w:eastAsia="en-CA"/>
        </w:rPr>
        <w:t xml:space="preserve">, </w:t>
      </w:r>
      <w:r w:rsidRPr="003608FA">
        <w:rPr>
          <w:rFonts w:ascii="Times New Roman" w:eastAsia="Times New Roman" w:hAnsi="Times New Roman" w:cs="Times New Roman"/>
          <w:i/>
          <w:iCs/>
          <w:color w:val="222222"/>
          <w:sz w:val="24"/>
          <w:szCs w:val="24"/>
          <w:lang w:val="en-CA" w:eastAsia="en-CA"/>
        </w:rPr>
        <w:t>28</w:t>
      </w:r>
      <w:r w:rsidRPr="003608FA">
        <w:rPr>
          <w:rFonts w:ascii="Times New Roman" w:eastAsia="Times New Roman" w:hAnsi="Times New Roman" w:cs="Times New Roman"/>
          <w:color w:val="222222"/>
          <w:sz w:val="24"/>
          <w:szCs w:val="24"/>
          <w:lang w:val="en-CA" w:eastAsia="en-CA"/>
        </w:rPr>
        <w:t>(3), 218-252.</w:t>
      </w:r>
      <w:r w:rsidR="004D3B2A" w:rsidRPr="003608FA">
        <w:rPr>
          <w:rFonts w:ascii="Times New Roman" w:eastAsia="Times New Roman" w:hAnsi="Times New Roman" w:cs="Times New Roman"/>
          <w:color w:val="222222"/>
          <w:sz w:val="24"/>
          <w:szCs w:val="24"/>
          <w:lang w:val="en-CA" w:eastAsia="en-CA"/>
        </w:rPr>
        <w:t xml:space="preserve"> </w:t>
      </w:r>
      <w:r w:rsidR="00F83903" w:rsidRPr="003608FA">
        <w:rPr>
          <w:rFonts w:ascii="Times New Roman" w:eastAsia="Times New Roman" w:hAnsi="Times New Roman" w:cs="Times New Roman"/>
          <w:color w:val="222222"/>
          <w:sz w:val="24"/>
          <w:szCs w:val="24"/>
          <w:lang w:val="en-CA" w:eastAsia="en-CA"/>
        </w:rPr>
        <w:t>https://</w:t>
      </w:r>
      <w:r w:rsidR="00F83903">
        <w:rPr>
          <w:rFonts w:ascii="Times New Roman" w:hAnsi="Times New Roman" w:cs="Times New Roman"/>
          <w:color w:val="000000"/>
          <w:sz w:val="24"/>
          <w:szCs w:val="24"/>
          <w:lang w:val="de-DE"/>
        </w:rPr>
        <w:t>doi.org/</w:t>
      </w:r>
      <w:r w:rsidR="004D3B2A" w:rsidRPr="004D3B2A">
        <w:rPr>
          <w:rFonts w:ascii="Times New Roman" w:hAnsi="Times New Roman" w:cs="Times New Roman"/>
          <w:color w:val="000000"/>
          <w:sz w:val="24"/>
          <w:szCs w:val="24"/>
          <w:lang w:val="de-DE"/>
        </w:rPr>
        <w:t>10.1177/107906321557410</w:t>
      </w:r>
    </w:p>
    <w:p w14:paraId="429D4F84" w14:textId="77777777" w:rsidR="00672D27" w:rsidRPr="00672D27" w:rsidRDefault="00672D27" w:rsidP="00672D27">
      <w:pPr>
        <w:spacing w:after="0" w:line="240" w:lineRule="auto"/>
        <w:ind w:left="720" w:hanging="720"/>
        <w:rPr>
          <w:rFonts w:ascii="Times New Roman" w:eastAsia="Times New Roman" w:hAnsi="Times New Roman" w:cs="Times New Roman"/>
          <w:color w:val="222222"/>
          <w:sz w:val="24"/>
          <w:szCs w:val="24"/>
          <w:lang w:val="en-CA" w:eastAsia="en-CA"/>
        </w:rPr>
      </w:pPr>
    </w:p>
    <w:p w14:paraId="4A5D47E8" w14:textId="6E159F1E" w:rsidR="00F83903" w:rsidRPr="003608FA" w:rsidRDefault="00F83903" w:rsidP="00672D27">
      <w:pPr>
        <w:autoSpaceDE w:val="0"/>
        <w:autoSpaceDN w:val="0"/>
        <w:adjustRightInd w:val="0"/>
        <w:spacing w:after="0" w:line="240" w:lineRule="auto"/>
        <w:ind w:left="720" w:hanging="720"/>
        <w:rPr>
          <w:rFonts w:ascii="Times New Roman" w:hAnsi="Times New Roman" w:cs="Times New Roman"/>
          <w:sz w:val="24"/>
          <w:szCs w:val="24"/>
          <w:lang w:val="en-CA"/>
        </w:rPr>
      </w:pPr>
      <w:r w:rsidRPr="003608FA">
        <w:rPr>
          <w:rFonts w:ascii="Times New Roman" w:hAnsi="Times New Roman" w:cs="Times New Roman"/>
          <w:sz w:val="24"/>
          <w:szCs w:val="24"/>
          <w:lang w:val="en-CA"/>
        </w:rPr>
        <w:t xml:space="preserve">Helmus, L. M., Lee, S. C., Phenix, A., Hanson, R. K., &amp; Thornton, D. (2021). </w:t>
      </w:r>
      <w:r w:rsidRPr="003608FA">
        <w:rPr>
          <w:rFonts w:ascii="Times New Roman" w:hAnsi="Times New Roman" w:cs="Times New Roman"/>
          <w:i/>
          <w:sz w:val="24"/>
          <w:szCs w:val="24"/>
          <w:lang w:val="en-CA"/>
        </w:rPr>
        <w:t>Static-99R &amp; Static-2002R Evaluator’s Workbook</w:t>
      </w:r>
      <w:r w:rsidRPr="003608FA">
        <w:rPr>
          <w:rFonts w:ascii="Times New Roman" w:hAnsi="Times New Roman" w:cs="Times New Roman"/>
          <w:sz w:val="24"/>
          <w:szCs w:val="24"/>
          <w:lang w:val="en-CA"/>
        </w:rPr>
        <w:t>. Available from www.saar</w:t>
      </w:r>
      <w:r w:rsidR="003608FA">
        <w:rPr>
          <w:rFonts w:ascii="Times New Roman" w:hAnsi="Times New Roman" w:cs="Times New Roman"/>
          <w:sz w:val="24"/>
          <w:szCs w:val="24"/>
          <w:lang w:val="en-CA"/>
        </w:rPr>
        <w:t>na</w:t>
      </w:r>
      <w:r w:rsidRPr="003608FA">
        <w:rPr>
          <w:rFonts w:ascii="Times New Roman" w:hAnsi="Times New Roman" w:cs="Times New Roman"/>
          <w:sz w:val="24"/>
          <w:szCs w:val="24"/>
          <w:lang w:val="en-CA"/>
        </w:rPr>
        <w:t>.org.</w:t>
      </w:r>
    </w:p>
    <w:p w14:paraId="2AE08E3E" w14:textId="77777777" w:rsidR="00F83903" w:rsidRPr="003608FA" w:rsidRDefault="00F83903" w:rsidP="00672D27">
      <w:pPr>
        <w:autoSpaceDE w:val="0"/>
        <w:autoSpaceDN w:val="0"/>
        <w:adjustRightInd w:val="0"/>
        <w:spacing w:after="0" w:line="240" w:lineRule="auto"/>
        <w:ind w:left="720" w:hanging="720"/>
        <w:rPr>
          <w:rFonts w:ascii="Times New Roman" w:hAnsi="Times New Roman" w:cs="Times New Roman"/>
          <w:sz w:val="24"/>
          <w:szCs w:val="24"/>
          <w:lang w:val="en-CA"/>
        </w:rPr>
      </w:pPr>
    </w:p>
    <w:p w14:paraId="6E338AE5" w14:textId="017DEB57" w:rsidR="00A8304F" w:rsidRPr="00672D27" w:rsidRDefault="00A8304F" w:rsidP="00672D27">
      <w:pPr>
        <w:autoSpaceDE w:val="0"/>
        <w:autoSpaceDN w:val="0"/>
        <w:adjustRightInd w:val="0"/>
        <w:spacing w:after="0" w:line="240" w:lineRule="auto"/>
        <w:ind w:left="720" w:hanging="720"/>
        <w:rPr>
          <w:rFonts w:ascii="Times New Roman" w:hAnsi="Times New Roman" w:cs="Times New Roman"/>
          <w:iCs/>
          <w:sz w:val="24"/>
          <w:szCs w:val="24"/>
          <w:u w:val="single"/>
          <w:lang w:val="en-CA"/>
        </w:rPr>
      </w:pPr>
      <w:r w:rsidRPr="003608FA">
        <w:rPr>
          <w:rFonts w:ascii="Times New Roman" w:hAnsi="Times New Roman" w:cs="Times New Roman"/>
          <w:sz w:val="24"/>
          <w:szCs w:val="24"/>
          <w:lang w:val="en-CA"/>
        </w:rPr>
        <w:t xml:space="preserve">Phenix, A., Helmus, L. M., &amp; Hanson, R. K. (2016). </w:t>
      </w:r>
      <w:r w:rsidR="00F83903">
        <w:rPr>
          <w:rFonts w:ascii="Times New Roman" w:hAnsi="Times New Roman" w:cs="Times New Roman"/>
          <w:i/>
          <w:iCs/>
          <w:sz w:val="24"/>
          <w:szCs w:val="24"/>
          <w:lang w:val="en-CA"/>
        </w:rPr>
        <w:t>Static-99R &amp; Static-2002R Evaluators’ W</w:t>
      </w:r>
      <w:r w:rsidRPr="00F83903">
        <w:rPr>
          <w:rFonts w:ascii="Times New Roman" w:hAnsi="Times New Roman" w:cs="Times New Roman"/>
          <w:i/>
          <w:iCs/>
          <w:sz w:val="24"/>
          <w:szCs w:val="24"/>
          <w:lang w:val="en-CA"/>
        </w:rPr>
        <w:t>orkbook</w:t>
      </w:r>
      <w:r w:rsidRPr="00F83903">
        <w:rPr>
          <w:rFonts w:ascii="Times New Roman" w:hAnsi="Times New Roman" w:cs="Times New Roman"/>
          <w:i/>
          <w:sz w:val="24"/>
          <w:szCs w:val="24"/>
          <w:lang w:val="en-CA"/>
        </w:rPr>
        <w:t>.</w:t>
      </w:r>
      <w:r w:rsidRPr="004D3B2A">
        <w:rPr>
          <w:rFonts w:ascii="Times New Roman" w:hAnsi="Times New Roman" w:cs="Times New Roman"/>
          <w:sz w:val="24"/>
          <w:szCs w:val="24"/>
          <w:lang w:val="en-CA"/>
        </w:rPr>
        <w:t xml:space="preserve"> Available from www.</w:t>
      </w:r>
      <w:r w:rsidR="00F83903">
        <w:rPr>
          <w:rFonts w:ascii="Times New Roman" w:hAnsi="Times New Roman" w:cs="Times New Roman"/>
          <w:sz w:val="24"/>
          <w:szCs w:val="24"/>
          <w:lang w:val="en-CA"/>
        </w:rPr>
        <w:t>saarna.org</w:t>
      </w:r>
    </w:p>
    <w:p w14:paraId="4A645B0B" w14:textId="77777777" w:rsidR="006D25CC" w:rsidRPr="004D3B2A" w:rsidRDefault="006D25CC" w:rsidP="00672D27">
      <w:pPr>
        <w:spacing w:after="0" w:line="240" w:lineRule="auto"/>
        <w:ind w:left="720" w:hanging="720"/>
        <w:rPr>
          <w:rFonts w:ascii="Times New Roman" w:hAnsi="Times New Roman" w:cs="Times New Roman"/>
          <w:sz w:val="24"/>
          <w:szCs w:val="24"/>
        </w:rPr>
      </w:pPr>
    </w:p>
    <w:p w14:paraId="0705858C" w14:textId="2F68A56E" w:rsidR="006D25CC" w:rsidRPr="00672D27" w:rsidRDefault="00A8304F" w:rsidP="00672D27">
      <w:pPr>
        <w:autoSpaceDE w:val="0"/>
        <w:autoSpaceDN w:val="0"/>
        <w:adjustRightInd w:val="0"/>
        <w:spacing w:after="0" w:line="240" w:lineRule="auto"/>
        <w:ind w:left="720" w:hanging="720"/>
        <w:rPr>
          <w:rFonts w:ascii="Times New Roman" w:hAnsi="Times New Roman" w:cs="Times New Roman"/>
          <w:i/>
          <w:iCs/>
          <w:sz w:val="24"/>
          <w:szCs w:val="24"/>
          <w:u w:val="single"/>
          <w:lang w:val="en-CA"/>
        </w:rPr>
      </w:pPr>
      <w:r w:rsidRPr="004D3B2A">
        <w:rPr>
          <w:rFonts w:ascii="Times New Roman" w:hAnsi="Times New Roman" w:cs="Times New Roman"/>
          <w:sz w:val="24"/>
          <w:szCs w:val="24"/>
          <w:lang w:val="en-CA"/>
        </w:rPr>
        <w:t xml:space="preserve">Singer, J. D., &amp; Willett, J. B. (2003). </w:t>
      </w:r>
      <w:r w:rsidRPr="00F83903">
        <w:rPr>
          <w:rFonts w:ascii="Times New Roman" w:hAnsi="Times New Roman" w:cs="Times New Roman"/>
          <w:i/>
          <w:iCs/>
          <w:sz w:val="24"/>
          <w:szCs w:val="24"/>
          <w:lang w:val="en-CA"/>
        </w:rPr>
        <w:t>Applied longitudinal data analysis: Modeling change and event occurrence</w:t>
      </w:r>
      <w:r w:rsidRPr="00F83903">
        <w:rPr>
          <w:rFonts w:ascii="Times New Roman" w:hAnsi="Times New Roman" w:cs="Times New Roman"/>
          <w:i/>
          <w:sz w:val="24"/>
          <w:szCs w:val="24"/>
          <w:lang w:val="en-CA"/>
        </w:rPr>
        <w:t>.</w:t>
      </w:r>
      <w:r w:rsidRPr="004D3B2A">
        <w:rPr>
          <w:rFonts w:ascii="Times New Roman" w:hAnsi="Times New Roman" w:cs="Times New Roman"/>
          <w:sz w:val="24"/>
          <w:szCs w:val="24"/>
          <w:lang w:val="en-CA"/>
        </w:rPr>
        <w:t xml:space="preserve"> Oxford, UK: Oxford University Press.</w:t>
      </w:r>
    </w:p>
    <w:p w14:paraId="78CF9BE9" w14:textId="77777777" w:rsidR="00DC720D" w:rsidRPr="004D3B2A" w:rsidRDefault="00DC720D" w:rsidP="00672D27">
      <w:pPr>
        <w:autoSpaceDE w:val="0"/>
        <w:autoSpaceDN w:val="0"/>
        <w:adjustRightInd w:val="0"/>
        <w:spacing w:after="0" w:line="240" w:lineRule="auto"/>
        <w:ind w:left="720" w:hanging="720"/>
        <w:rPr>
          <w:rFonts w:ascii="Times New Roman" w:hAnsi="Times New Roman" w:cs="Times New Roman"/>
          <w:sz w:val="24"/>
          <w:szCs w:val="24"/>
          <w:lang w:val="en-CA"/>
        </w:rPr>
      </w:pPr>
    </w:p>
    <w:p w14:paraId="4F9D3A5F" w14:textId="1DF0E233" w:rsidR="00DC720D" w:rsidRPr="00672D27" w:rsidRDefault="00DC720D" w:rsidP="00672D27">
      <w:pPr>
        <w:autoSpaceDE w:val="0"/>
        <w:autoSpaceDN w:val="0"/>
        <w:adjustRightInd w:val="0"/>
        <w:spacing w:after="0" w:line="240" w:lineRule="auto"/>
        <w:ind w:left="720" w:hanging="720"/>
        <w:rPr>
          <w:rFonts w:ascii="Times New Roman" w:hAnsi="Times New Roman" w:cs="Times New Roman"/>
          <w:sz w:val="24"/>
          <w:szCs w:val="24"/>
          <w:lang w:val="en-CA"/>
        </w:rPr>
      </w:pPr>
      <w:r w:rsidRPr="004D3B2A">
        <w:rPr>
          <w:rFonts w:ascii="Times New Roman" w:hAnsi="Times New Roman" w:cs="Times New Roman"/>
          <w:sz w:val="24"/>
          <w:szCs w:val="24"/>
          <w:lang w:val="en-CA"/>
        </w:rPr>
        <w:t>Thornton, D., Hanson, R. K., Ke</w:t>
      </w:r>
      <w:r w:rsidR="00ED6594">
        <w:rPr>
          <w:rFonts w:ascii="Times New Roman" w:hAnsi="Times New Roman" w:cs="Times New Roman"/>
          <w:sz w:val="24"/>
          <w:szCs w:val="24"/>
          <w:lang w:val="en-CA"/>
        </w:rPr>
        <w:t>lley, S. M. &amp; Mundt, J. C. (2021</w:t>
      </w:r>
      <w:r w:rsidRPr="004D3B2A">
        <w:rPr>
          <w:rFonts w:ascii="Times New Roman" w:hAnsi="Times New Roman" w:cs="Times New Roman"/>
          <w:sz w:val="24"/>
          <w:szCs w:val="24"/>
          <w:lang w:val="en-CA"/>
        </w:rPr>
        <w:t xml:space="preserve">). Estimating lifetime and residual risk for individuals who remain sexual offense free in the community: Practical applications. </w:t>
      </w:r>
      <w:r w:rsidRPr="004D3B2A">
        <w:rPr>
          <w:rFonts w:ascii="Times New Roman" w:hAnsi="Times New Roman" w:cs="Times New Roman"/>
          <w:i/>
          <w:sz w:val="24"/>
          <w:szCs w:val="24"/>
          <w:lang w:val="en-CA"/>
        </w:rPr>
        <w:t>Sexual Abuse</w:t>
      </w:r>
      <w:r w:rsidR="00ED6594">
        <w:rPr>
          <w:rFonts w:ascii="Times New Roman" w:hAnsi="Times New Roman" w:cs="Times New Roman"/>
          <w:i/>
          <w:sz w:val="24"/>
          <w:szCs w:val="24"/>
          <w:lang w:val="en-CA"/>
        </w:rPr>
        <w:t>, 33</w:t>
      </w:r>
      <w:r w:rsidR="00ED6594">
        <w:rPr>
          <w:rFonts w:ascii="Times New Roman" w:hAnsi="Times New Roman" w:cs="Times New Roman"/>
          <w:sz w:val="24"/>
          <w:szCs w:val="24"/>
          <w:lang w:val="en-CA"/>
        </w:rPr>
        <w:t>(1), 3-33</w:t>
      </w:r>
      <w:r w:rsidRPr="004D3B2A">
        <w:rPr>
          <w:rFonts w:ascii="Times New Roman" w:hAnsi="Times New Roman" w:cs="Times New Roman"/>
          <w:sz w:val="24"/>
          <w:szCs w:val="24"/>
          <w:lang w:val="en-CA"/>
        </w:rPr>
        <w:t xml:space="preserve">. </w:t>
      </w:r>
      <w:r w:rsidR="00ED6594">
        <w:rPr>
          <w:rFonts w:ascii="Times New Roman" w:hAnsi="Times New Roman" w:cs="Times New Roman"/>
          <w:sz w:val="24"/>
          <w:szCs w:val="24"/>
          <w:lang w:val="en-CA"/>
        </w:rPr>
        <w:t>https://</w:t>
      </w:r>
      <w:r w:rsidR="004D3B2A" w:rsidRPr="004D3B2A">
        <w:rPr>
          <w:rFonts w:ascii="Times New Roman" w:hAnsi="Times New Roman" w:cs="Times New Roman"/>
          <w:color w:val="000000" w:themeColor="text1"/>
          <w:sz w:val="24"/>
          <w:szCs w:val="24"/>
          <w:lang w:val="en-CA"/>
        </w:rPr>
        <w:t>doi</w:t>
      </w:r>
      <w:r w:rsidR="00ED6594">
        <w:rPr>
          <w:rFonts w:ascii="Times New Roman" w:hAnsi="Times New Roman" w:cs="Times New Roman"/>
          <w:color w:val="000000" w:themeColor="text1"/>
          <w:sz w:val="24"/>
          <w:szCs w:val="24"/>
          <w:lang w:val="en-CA"/>
        </w:rPr>
        <w:t>.org/</w:t>
      </w:r>
      <w:r w:rsidR="004D3B2A" w:rsidRPr="00F83903">
        <w:rPr>
          <w:rFonts w:ascii="Times New Roman" w:hAnsi="Times New Roman" w:cs="Times New Roman"/>
          <w:color w:val="000000" w:themeColor="text1"/>
          <w:sz w:val="24"/>
          <w:szCs w:val="24"/>
          <w:lang w:val="en-CA"/>
        </w:rPr>
        <w:t>10.1177/1079063219871573</w:t>
      </w:r>
    </w:p>
    <w:p w14:paraId="79E10972" w14:textId="77777777" w:rsidR="00C94137" w:rsidRPr="004D3B2A" w:rsidRDefault="009C5806">
      <w:pPr>
        <w:rPr>
          <w:rFonts w:ascii="Times New Roman" w:hAnsi="Times New Roman" w:cs="Times New Roman"/>
          <w:sz w:val="24"/>
          <w:szCs w:val="24"/>
        </w:rPr>
      </w:pPr>
      <w:r w:rsidRPr="004D3B2A">
        <w:rPr>
          <w:rFonts w:ascii="Times New Roman" w:hAnsi="Times New Roman" w:cs="Times New Roman"/>
          <w:sz w:val="24"/>
          <w:szCs w:val="24"/>
        </w:rPr>
        <w:t xml:space="preserve">  </w:t>
      </w:r>
    </w:p>
    <w:sectPr w:rsidR="00C94137" w:rsidRPr="004D3B2A" w:rsidSect="00AE48B7">
      <w:headerReference w:type="default" r:id="rId16"/>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B6996" w14:textId="77777777" w:rsidR="009B0783" w:rsidRDefault="009B0783" w:rsidP="002374BB">
      <w:pPr>
        <w:spacing w:after="0" w:line="240" w:lineRule="auto"/>
      </w:pPr>
      <w:r>
        <w:separator/>
      </w:r>
    </w:p>
  </w:endnote>
  <w:endnote w:type="continuationSeparator" w:id="0">
    <w:p w14:paraId="346A18C3" w14:textId="77777777" w:rsidR="009B0783" w:rsidRDefault="009B0783" w:rsidP="00237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1199E" w14:textId="77777777" w:rsidR="009B0783" w:rsidRDefault="009B0783" w:rsidP="002374BB">
      <w:pPr>
        <w:spacing w:after="0" w:line="240" w:lineRule="auto"/>
      </w:pPr>
      <w:r>
        <w:separator/>
      </w:r>
    </w:p>
  </w:footnote>
  <w:footnote w:type="continuationSeparator" w:id="0">
    <w:p w14:paraId="5E5E9367" w14:textId="77777777" w:rsidR="009B0783" w:rsidRDefault="009B0783" w:rsidP="00237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1C259" w14:textId="2677CBBD" w:rsidR="00C81FBA" w:rsidRDefault="00000000">
    <w:pPr>
      <w:pStyle w:val="Header"/>
      <w:jc w:val="right"/>
    </w:pPr>
    <w:sdt>
      <w:sdtPr>
        <w:id w:val="-1616130797"/>
        <w:docPartObj>
          <w:docPartGallery w:val="Page Numbers (Top of Page)"/>
          <w:docPartUnique/>
        </w:docPartObj>
      </w:sdtPr>
      <w:sdtEndPr>
        <w:rPr>
          <w:noProof/>
        </w:rPr>
      </w:sdtEndPr>
      <w:sdtContent>
        <w:r w:rsidR="00C81FBA">
          <w:fldChar w:fldCharType="begin"/>
        </w:r>
        <w:r w:rsidR="00C81FBA">
          <w:instrText xml:space="preserve"> PAGE   \* MERGEFORMAT </w:instrText>
        </w:r>
        <w:r w:rsidR="00C81FBA">
          <w:fldChar w:fldCharType="separate"/>
        </w:r>
        <w:r w:rsidR="00F83903">
          <w:rPr>
            <w:noProof/>
          </w:rPr>
          <w:t>17</w:t>
        </w:r>
        <w:r w:rsidR="00C81FBA">
          <w:rPr>
            <w:noProof/>
          </w:rPr>
          <w:fldChar w:fldCharType="end"/>
        </w:r>
      </w:sdtContent>
    </w:sdt>
  </w:p>
  <w:p w14:paraId="1D199558" w14:textId="77777777" w:rsidR="00C81FBA" w:rsidRDefault="00C81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84607"/>
    <w:multiLevelType w:val="hybridMultilevel"/>
    <w:tmpl w:val="E982C9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762A2"/>
    <w:multiLevelType w:val="hybridMultilevel"/>
    <w:tmpl w:val="D02E0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21AC2"/>
    <w:multiLevelType w:val="hybridMultilevel"/>
    <w:tmpl w:val="548AA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820DA"/>
    <w:multiLevelType w:val="hybridMultilevel"/>
    <w:tmpl w:val="0B1C98F6"/>
    <w:lvl w:ilvl="0" w:tplc="FF8C428A">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D5410B3"/>
    <w:multiLevelType w:val="hybridMultilevel"/>
    <w:tmpl w:val="120C9AE8"/>
    <w:lvl w:ilvl="0" w:tplc="FF8C428A">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3FFB460A"/>
    <w:multiLevelType w:val="hybridMultilevel"/>
    <w:tmpl w:val="4030C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675D4"/>
    <w:multiLevelType w:val="hybridMultilevel"/>
    <w:tmpl w:val="EB081EC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2D335D"/>
    <w:multiLevelType w:val="hybridMultilevel"/>
    <w:tmpl w:val="E8187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5350FF"/>
    <w:multiLevelType w:val="hybridMultilevel"/>
    <w:tmpl w:val="0406A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022104"/>
    <w:multiLevelType w:val="hybridMultilevel"/>
    <w:tmpl w:val="A10CBAB4"/>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393578569">
    <w:abstractNumId w:val="0"/>
  </w:num>
  <w:num w:numId="2" w16cid:durableId="1605454107">
    <w:abstractNumId w:val="6"/>
  </w:num>
  <w:num w:numId="3" w16cid:durableId="1884057484">
    <w:abstractNumId w:val="1"/>
  </w:num>
  <w:num w:numId="4" w16cid:durableId="1963145925">
    <w:abstractNumId w:val="7"/>
  </w:num>
  <w:num w:numId="5" w16cid:durableId="1152598594">
    <w:abstractNumId w:val="4"/>
  </w:num>
  <w:num w:numId="6" w16cid:durableId="1755932268">
    <w:abstractNumId w:val="3"/>
  </w:num>
  <w:num w:numId="7" w16cid:durableId="933518360">
    <w:abstractNumId w:val="2"/>
  </w:num>
  <w:num w:numId="8" w16cid:durableId="199443876">
    <w:abstractNumId w:val="8"/>
  </w:num>
  <w:num w:numId="9" w16cid:durableId="816652449">
    <w:abstractNumId w:val="5"/>
  </w:num>
  <w:num w:numId="10" w16cid:durableId="2463086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US" w:vendorID="64" w:dllVersion="0" w:nlCheck="1" w:checkStyle="0"/>
  <w:activeWritingStyle w:appName="MSWord" w:lang="en-CA"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E2"/>
    <w:rsid w:val="00001AEE"/>
    <w:rsid w:val="00013599"/>
    <w:rsid w:val="00013ED6"/>
    <w:rsid w:val="00015673"/>
    <w:rsid w:val="00015FBE"/>
    <w:rsid w:val="00027FAE"/>
    <w:rsid w:val="00043ED0"/>
    <w:rsid w:val="000511BC"/>
    <w:rsid w:val="000542D5"/>
    <w:rsid w:val="0005792C"/>
    <w:rsid w:val="000633A4"/>
    <w:rsid w:val="000711AB"/>
    <w:rsid w:val="000712DD"/>
    <w:rsid w:val="00085627"/>
    <w:rsid w:val="000A0DF8"/>
    <w:rsid w:val="000A46A6"/>
    <w:rsid w:val="000B56E0"/>
    <w:rsid w:val="000C30F1"/>
    <w:rsid w:val="000D77AD"/>
    <w:rsid w:val="000D7FBA"/>
    <w:rsid w:val="00116AAF"/>
    <w:rsid w:val="00116F44"/>
    <w:rsid w:val="00120889"/>
    <w:rsid w:val="00120C62"/>
    <w:rsid w:val="00135DAB"/>
    <w:rsid w:val="001370A4"/>
    <w:rsid w:val="00137BAE"/>
    <w:rsid w:val="00142AE2"/>
    <w:rsid w:val="00143C5B"/>
    <w:rsid w:val="00196A32"/>
    <w:rsid w:val="001A34F7"/>
    <w:rsid w:val="001A4BCC"/>
    <w:rsid w:val="001B243D"/>
    <w:rsid w:val="001C25D0"/>
    <w:rsid w:val="001C2B0F"/>
    <w:rsid w:val="001C515F"/>
    <w:rsid w:val="001D542C"/>
    <w:rsid w:val="001E63B2"/>
    <w:rsid w:val="001E6715"/>
    <w:rsid w:val="001F11BE"/>
    <w:rsid w:val="002035CD"/>
    <w:rsid w:val="00203C8E"/>
    <w:rsid w:val="002050C3"/>
    <w:rsid w:val="00205D91"/>
    <w:rsid w:val="00210F05"/>
    <w:rsid w:val="002110EC"/>
    <w:rsid w:val="002135A7"/>
    <w:rsid w:val="0022179D"/>
    <w:rsid w:val="002239AD"/>
    <w:rsid w:val="002374BB"/>
    <w:rsid w:val="00246BBA"/>
    <w:rsid w:val="002557A0"/>
    <w:rsid w:val="00261C96"/>
    <w:rsid w:val="00261FF1"/>
    <w:rsid w:val="0026474D"/>
    <w:rsid w:val="002777F8"/>
    <w:rsid w:val="0028115E"/>
    <w:rsid w:val="00284019"/>
    <w:rsid w:val="0028498A"/>
    <w:rsid w:val="002913A5"/>
    <w:rsid w:val="0029440B"/>
    <w:rsid w:val="00294A82"/>
    <w:rsid w:val="002B30B4"/>
    <w:rsid w:val="002B7467"/>
    <w:rsid w:val="002C0503"/>
    <w:rsid w:val="002C6470"/>
    <w:rsid w:val="002D6541"/>
    <w:rsid w:val="002E26E5"/>
    <w:rsid w:val="003057CE"/>
    <w:rsid w:val="003133A0"/>
    <w:rsid w:val="0031389C"/>
    <w:rsid w:val="003207D8"/>
    <w:rsid w:val="00320EB0"/>
    <w:rsid w:val="00323C97"/>
    <w:rsid w:val="0033565A"/>
    <w:rsid w:val="00340B7A"/>
    <w:rsid w:val="00341AD8"/>
    <w:rsid w:val="00343A51"/>
    <w:rsid w:val="0035152E"/>
    <w:rsid w:val="003608FA"/>
    <w:rsid w:val="00361326"/>
    <w:rsid w:val="00366EB8"/>
    <w:rsid w:val="00371AB1"/>
    <w:rsid w:val="003773A7"/>
    <w:rsid w:val="00377765"/>
    <w:rsid w:val="003957CC"/>
    <w:rsid w:val="003961C6"/>
    <w:rsid w:val="003962E4"/>
    <w:rsid w:val="003A156C"/>
    <w:rsid w:val="003A3E06"/>
    <w:rsid w:val="003B30EA"/>
    <w:rsid w:val="003C6E19"/>
    <w:rsid w:val="003C7E45"/>
    <w:rsid w:val="003E4ED3"/>
    <w:rsid w:val="00403A06"/>
    <w:rsid w:val="00406B22"/>
    <w:rsid w:val="00410D88"/>
    <w:rsid w:val="0042397F"/>
    <w:rsid w:val="00431582"/>
    <w:rsid w:val="0043329B"/>
    <w:rsid w:val="00451D7C"/>
    <w:rsid w:val="0045246C"/>
    <w:rsid w:val="00453B5E"/>
    <w:rsid w:val="00456632"/>
    <w:rsid w:val="004576AA"/>
    <w:rsid w:val="0046362F"/>
    <w:rsid w:val="00473368"/>
    <w:rsid w:val="00477692"/>
    <w:rsid w:val="004826C0"/>
    <w:rsid w:val="004C102A"/>
    <w:rsid w:val="004D0B4D"/>
    <w:rsid w:val="004D1219"/>
    <w:rsid w:val="004D3B2A"/>
    <w:rsid w:val="004E0552"/>
    <w:rsid w:val="004F43F7"/>
    <w:rsid w:val="00502439"/>
    <w:rsid w:val="005114C6"/>
    <w:rsid w:val="0051187D"/>
    <w:rsid w:val="00526946"/>
    <w:rsid w:val="0055083F"/>
    <w:rsid w:val="005508F3"/>
    <w:rsid w:val="00551148"/>
    <w:rsid w:val="005606DE"/>
    <w:rsid w:val="005639C1"/>
    <w:rsid w:val="00573148"/>
    <w:rsid w:val="00573E06"/>
    <w:rsid w:val="0058282F"/>
    <w:rsid w:val="00583472"/>
    <w:rsid w:val="00594445"/>
    <w:rsid w:val="005A1AAD"/>
    <w:rsid w:val="005A2DD4"/>
    <w:rsid w:val="005B12F5"/>
    <w:rsid w:val="005B287F"/>
    <w:rsid w:val="005B2E3E"/>
    <w:rsid w:val="005B55D7"/>
    <w:rsid w:val="005B62A0"/>
    <w:rsid w:val="005C3A22"/>
    <w:rsid w:val="005C60DD"/>
    <w:rsid w:val="006000CF"/>
    <w:rsid w:val="006079BD"/>
    <w:rsid w:val="00610DE8"/>
    <w:rsid w:val="00611E25"/>
    <w:rsid w:val="00613C9D"/>
    <w:rsid w:val="00617D2A"/>
    <w:rsid w:val="006219BB"/>
    <w:rsid w:val="00622768"/>
    <w:rsid w:val="00631C0D"/>
    <w:rsid w:val="00662455"/>
    <w:rsid w:val="0066257A"/>
    <w:rsid w:val="00663911"/>
    <w:rsid w:val="00672D27"/>
    <w:rsid w:val="00674F93"/>
    <w:rsid w:val="006807EA"/>
    <w:rsid w:val="00682054"/>
    <w:rsid w:val="006864C0"/>
    <w:rsid w:val="006912E2"/>
    <w:rsid w:val="006B3143"/>
    <w:rsid w:val="006C0247"/>
    <w:rsid w:val="006C308A"/>
    <w:rsid w:val="006D0CAC"/>
    <w:rsid w:val="006D25CC"/>
    <w:rsid w:val="006E062D"/>
    <w:rsid w:val="006E27F8"/>
    <w:rsid w:val="006F4C33"/>
    <w:rsid w:val="006F5149"/>
    <w:rsid w:val="00702FB6"/>
    <w:rsid w:val="00704938"/>
    <w:rsid w:val="007055A6"/>
    <w:rsid w:val="007076AA"/>
    <w:rsid w:val="007168EF"/>
    <w:rsid w:val="007256BE"/>
    <w:rsid w:val="00727C57"/>
    <w:rsid w:val="00740BBA"/>
    <w:rsid w:val="007528C4"/>
    <w:rsid w:val="00763443"/>
    <w:rsid w:val="007713C0"/>
    <w:rsid w:val="0077533F"/>
    <w:rsid w:val="007765DD"/>
    <w:rsid w:val="00781610"/>
    <w:rsid w:val="00783D02"/>
    <w:rsid w:val="0079580A"/>
    <w:rsid w:val="007A0175"/>
    <w:rsid w:val="007A6381"/>
    <w:rsid w:val="007A6CCC"/>
    <w:rsid w:val="007C1D71"/>
    <w:rsid w:val="007C2F65"/>
    <w:rsid w:val="007C3780"/>
    <w:rsid w:val="007C44EE"/>
    <w:rsid w:val="007D6A6F"/>
    <w:rsid w:val="007F399F"/>
    <w:rsid w:val="007F624B"/>
    <w:rsid w:val="007F73EB"/>
    <w:rsid w:val="00802241"/>
    <w:rsid w:val="00816B52"/>
    <w:rsid w:val="0083225F"/>
    <w:rsid w:val="00844562"/>
    <w:rsid w:val="00855EAC"/>
    <w:rsid w:val="00867F51"/>
    <w:rsid w:val="00872881"/>
    <w:rsid w:val="0087291E"/>
    <w:rsid w:val="008742B3"/>
    <w:rsid w:val="00875DD3"/>
    <w:rsid w:val="00883130"/>
    <w:rsid w:val="00884F63"/>
    <w:rsid w:val="008853A2"/>
    <w:rsid w:val="00894B49"/>
    <w:rsid w:val="00895918"/>
    <w:rsid w:val="00895F1E"/>
    <w:rsid w:val="008A1823"/>
    <w:rsid w:val="008A5671"/>
    <w:rsid w:val="008B0644"/>
    <w:rsid w:val="008B3AA7"/>
    <w:rsid w:val="008B7460"/>
    <w:rsid w:val="008C4C0A"/>
    <w:rsid w:val="008D18E0"/>
    <w:rsid w:val="008D3890"/>
    <w:rsid w:val="008D72DE"/>
    <w:rsid w:val="008D76B9"/>
    <w:rsid w:val="008F4147"/>
    <w:rsid w:val="008F70A9"/>
    <w:rsid w:val="00910B84"/>
    <w:rsid w:val="0091142C"/>
    <w:rsid w:val="00943960"/>
    <w:rsid w:val="00952718"/>
    <w:rsid w:val="00965848"/>
    <w:rsid w:val="00967466"/>
    <w:rsid w:val="0097789C"/>
    <w:rsid w:val="00980831"/>
    <w:rsid w:val="00983C45"/>
    <w:rsid w:val="00985693"/>
    <w:rsid w:val="00987949"/>
    <w:rsid w:val="00993DD6"/>
    <w:rsid w:val="00995217"/>
    <w:rsid w:val="009A0DC8"/>
    <w:rsid w:val="009A4115"/>
    <w:rsid w:val="009B0783"/>
    <w:rsid w:val="009C5806"/>
    <w:rsid w:val="009D5CA6"/>
    <w:rsid w:val="009E17CD"/>
    <w:rsid w:val="009E2398"/>
    <w:rsid w:val="009E758C"/>
    <w:rsid w:val="009F2C88"/>
    <w:rsid w:val="00A01479"/>
    <w:rsid w:val="00A14CE2"/>
    <w:rsid w:val="00A17323"/>
    <w:rsid w:val="00A300C2"/>
    <w:rsid w:val="00A462A2"/>
    <w:rsid w:val="00A514E8"/>
    <w:rsid w:val="00A54166"/>
    <w:rsid w:val="00A7025B"/>
    <w:rsid w:val="00A71DDC"/>
    <w:rsid w:val="00A728FC"/>
    <w:rsid w:val="00A8304F"/>
    <w:rsid w:val="00AA7BFD"/>
    <w:rsid w:val="00AB1ED1"/>
    <w:rsid w:val="00AB4B78"/>
    <w:rsid w:val="00AC0EC3"/>
    <w:rsid w:val="00AC4CF7"/>
    <w:rsid w:val="00AD42B0"/>
    <w:rsid w:val="00AE358B"/>
    <w:rsid w:val="00AE48B7"/>
    <w:rsid w:val="00AE5A04"/>
    <w:rsid w:val="00AE791E"/>
    <w:rsid w:val="00AF2290"/>
    <w:rsid w:val="00AF7273"/>
    <w:rsid w:val="00B023B8"/>
    <w:rsid w:val="00B05A2E"/>
    <w:rsid w:val="00B12384"/>
    <w:rsid w:val="00B1436D"/>
    <w:rsid w:val="00B1457E"/>
    <w:rsid w:val="00B21F92"/>
    <w:rsid w:val="00B268BB"/>
    <w:rsid w:val="00B32845"/>
    <w:rsid w:val="00B373E0"/>
    <w:rsid w:val="00B42980"/>
    <w:rsid w:val="00B621BD"/>
    <w:rsid w:val="00B621C2"/>
    <w:rsid w:val="00B71C1C"/>
    <w:rsid w:val="00B7396F"/>
    <w:rsid w:val="00B854F8"/>
    <w:rsid w:val="00B91EB4"/>
    <w:rsid w:val="00B949A6"/>
    <w:rsid w:val="00BA5999"/>
    <w:rsid w:val="00BB7A1D"/>
    <w:rsid w:val="00BC3DD4"/>
    <w:rsid w:val="00BD2FF8"/>
    <w:rsid w:val="00BE219B"/>
    <w:rsid w:val="00C258CA"/>
    <w:rsid w:val="00C3017B"/>
    <w:rsid w:val="00C30EA9"/>
    <w:rsid w:val="00C31075"/>
    <w:rsid w:val="00C371B6"/>
    <w:rsid w:val="00C46B65"/>
    <w:rsid w:val="00C5798E"/>
    <w:rsid w:val="00C629EF"/>
    <w:rsid w:val="00C67B99"/>
    <w:rsid w:val="00C72E00"/>
    <w:rsid w:val="00C740AF"/>
    <w:rsid w:val="00C76F48"/>
    <w:rsid w:val="00C81FBA"/>
    <w:rsid w:val="00C850F2"/>
    <w:rsid w:val="00C94137"/>
    <w:rsid w:val="00CA44A0"/>
    <w:rsid w:val="00CA57D1"/>
    <w:rsid w:val="00CC742A"/>
    <w:rsid w:val="00CE0905"/>
    <w:rsid w:val="00CE39F9"/>
    <w:rsid w:val="00CF7D21"/>
    <w:rsid w:val="00D12ABD"/>
    <w:rsid w:val="00D20FDB"/>
    <w:rsid w:val="00D30028"/>
    <w:rsid w:val="00D509D0"/>
    <w:rsid w:val="00D54853"/>
    <w:rsid w:val="00D74869"/>
    <w:rsid w:val="00D754C1"/>
    <w:rsid w:val="00D83954"/>
    <w:rsid w:val="00DA1C30"/>
    <w:rsid w:val="00DA728C"/>
    <w:rsid w:val="00DB0725"/>
    <w:rsid w:val="00DB6B53"/>
    <w:rsid w:val="00DC3D4E"/>
    <w:rsid w:val="00DC576B"/>
    <w:rsid w:val="00DC720D"/>
    <w:rsid w:val="00DD2917"/>
    <w:rsid w:val="00DD3454"/>
    <w:rsid w:val="00DE2451"/>
    <w:rsid w:val="00DE3A4C"/>
    <w:rsid w:val="00DE49BC"/>
    <w:rsid w:val="00DE6046"/>
    <w:rsid w:val="00DE61D9"/>
    <w:rsid w:val="00DE700D"/>
    <w:rsid w:val="00DF4763"/>
    <w:rsid w:val="00DF4BE6"/>
    <w:rsid w:val="00E030B6"/>
    <w:rsid w:val="00E14022"/>
    <w:rsid w:val="00E200AC"/>
    <w:rsid w:val="00E20FAE"/>
    <w:rsid w:val="00E248F3"/>
    <w:rsid w:val="00E32D6E"/>
    <w:rsid w:val="00E35270"/>
    <w:rsid w:val="00E35386"/>
    <w:rsid w:val="00E3560A"/>
    <w:rsid w:val="00E46F10"/>
    <w:rsid w:val="00E51C6F"/>
    <w:rsid w:val="00E5407F"/>
    <w:rsid w:val="00E55298"/>
    <w:rsid w:val="00E561A9"/>
    <w:rsid w:val="00E62EFE"/>
    <w:rsid w:val="00E756AB"/>
    <w:rsid w:val="00E806E7"/>
    <w:rsid w:val="00E87322"/>
    <w:rsid w:val="00E93A3A"/>
    <w:rsid w:val="00EA5B2A"/>
    <w:rsid w:val="00EA6050"/>
    <w:rsid w:val="00EB3FAF"/>
    <w:rsid w:val="00EB5437"/>
    <w:rsid w:val="00EC4E12"/>
    <w:rsid w:val="00EC6AAC"/>
    <w:rsid w:val="00EC76F8"/>
    <w:rsid w:val="00ED5155"/>
    <w:rsid w:val="00ED6594"/>
    <w:rsid w:val="00ED7BCF"/>
    <w:rsid w:val="00EE06B1"/>
    <w:rsid w:val="00EE1006"/>
    <w:rsid w:val="00EE175B"/>
    <w:rsid w:val="00EE2783"/>
    <w:rsid w:val="00EF2EF6"/>
    <w:rsid w:val="00F07285"/>
    <w:rsid w:val="00F12267"/>
    <w:rsid w:val="00F150DB"/>
    <w:rsid w:val="00F20DC7"/>
    <w:rsid w:val="00F2383A"/>
    <w:rsid w:val="00F250F4"/>
    <w:rsid w:val="00F31FF7"/>
    <w:rsid w:val="00F50497"/>
    <w:rsid w:val="00F558B7"/>
    <w:rsid w:val="00F57D51"/>
    <w:rsid w:val="00F63575"/>
    <w:rsid w:val="00F6419E"/>
    <w:rsid w:val="00F819E7"/>
    <w:rsid w:val="00F81DC2"/>
    <w:rsid w:val="00F8205F"/>
    <w:rsid w:val="00F83903"/>
    <w:rsid w:val="00F90CA0"/>
    <w:rsid w:val="00FA1952"/>
    <w:rsid w:val="00FA4D00"/>
    <w:rsid w:val="00FB62E9"/>
    <w:rsid w:val="00FC0326"/>
    <w:rsid w:val="00FC719D"/>
    <w:rsid w:val="00FD0B92"/>
    <w:rsid w:val="00FF0924"/>
    <w:rsid w:val="00FF0944"/>
    <w:rsid w:val="00FF4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BA610"/>
  <w15:docId w15:val="{3C40CA6B-6D3A-43D3-A15E-B4CD2509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9C1"/>
    <w:pPr>
      <w:ind w:left="720"/>
      <w:contextualSpacing/>
    </w:pPr>
  </w:style>
  <w:style w:type="character" w:styleId="Hyperlink">
    <w:name w:val="Hyperlink"/>
    <w:basedOn w:val="DefaultParagraphFont"/>
    <w:uiPriority w:val="99"/>
    <w:unhideWhenUsed/>
    <w:rsid w:val="005639C1"/>
    <w:rPr>
      <w:color w:val="0000FF" w:themeColor="hyperlink"/>
      <w:u w:val="single"/>
    </w:rPr>
  </w:style>
  <w:style w:type="paragraph" w:styleId="Header">
    <w:name w:val="header"/>
    <w:basedOn w:val="Normal"/>
    <w:link w:val="HeaderChar"/>
    <w:uiPriority w:val="99"/>
    <w:unhideWhenUsed/>
    <w:rsid w:val="00237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4BB"/>
  </w:style>
  <w:style w:type="paragraph" w:styleId="Footer">
    <w:name w:val="footer"/>
    <w:basedOn w:val="Normal"/>
    <w:link w:val="FooterChar"/>
    <w:uiPriority w:val="99"/>
    <w:unhideWhenUsed/>
    <w:rsid w:val="00237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4BB"/>
  </w:style>
  <w:style w:type="paragraph" w:styleId="BalloonText">
    <w:name w:val="Balloon Text"/>
    <w:basedOn w:val="Normal"/>
    <w:link w:val="BalloonTextChar"/>
    <w:uiPriority w:val="99"/>
    <w:semiHidden/>
    <w:unhideWhenUsed/>
    <w:rsid w:val="009A0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DC8"/>
    <w:rPr>
      <w:rFonts w:ascii="Tahoma" w:hAnsi="Tahoma" w:cs="Tahoma"/>
      <w:sz w:val="16"/>
      <w:szCs w:val="16"/>
    </w:rPr>
  </w:style>
  <w:style w:type="table" w:styleId="TableGrid">
    <w:name w:val="Table Grid"/>
    <w:basedOn w:val="TableNormal"/>
    <w:uiPriority w:val="59"/>
    <w:rsid w:val="00E87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4115"/>
    <w:rPr>
      <w:sz w:val="16"/>
      <w:szCs w:val="16"/>
    </w:rPr>
  </w:style>
  <w:style w:type="paragraph" w:styleId="CommentText">
    <w:name w:val="annotation text"/>
    <w:basedOn w:val="Normal"/>
    <w:link w:val="CommentTextChar"/>
    <w:uiPriority w:val="99"/>
    <w:semiHidden/>
    <w:unhideWhenUsed/>
    <w:rsid w:val="009A4115"/>
    <w:pPr>
      <w:spacing w:line="240" w:lineRule="auto"/>
    </w:pPr>
    <w:rPr>
      <w:sz w:val="20"/>
      <w:szCs w:val="20"/>
    </w:rPr>
  </w:style>
  <w:style w:type="character" w:customStyle="1" w:styleId="CommentTextChar">
    <w:name w:val="Comment Text Char"/>
    <w:basedOn w:val="DefaultParagraphFont"/>
    <w:link w:val="CommentText"/>
    <w:uiPriority w:val="99"/>
    <w:semiHidden/>
    <w:rsid w:val="009A4115"/>
    <w:rPr>
      <w:sz w:val="20"/>
      <w:szCs w:val="20"/>
    </w:rPr>
  </w:style>
  <w:style w:type="paragraph" w:styleId="CommentSubject">
    <w:name w:val="annotation subject"/>
    <w:basedOn w:val="CommentText"/>
    <w:next w:val="CommentText"/>
    <w:link w:val="CommentSubjectChar"/>
    <w:uiPriority w:val="99"/>
    <w:semiHidden/>
    <w:unhideWhenUsed/>
    <w:rsid w:val="009A4115"/>
    <w:rPr>
      <w:b/>
      <w:bCs/>
    </w:rPr>
  </w:style>
  <w:style w:type="character" w:customStyle="1" w:styleId="CommentSubjectChar">
    <w:name w:val="Comment Subject Char"/>
    <w:basedOn w:val="CommentTextChar"/>
    <w:link w:val="CommentSubject"/>
    <w:uiPriority w:val="99"/>
    <w:semiHidden/>
    <w:rsid w:val="009A4115"/>
    <w:rPr>
      <w:b/>
      <w:bCs/>
      <w:sz w:val="20"/>
      <w:szCs w:val="20"/>
    </w:rPr>
  </w:style>
  <w:style w:type="character" w:styleId="FollowedHyperlink">
    <w:name w:val="FollowedHyperlink"/>
    <w:basedOn w:val="DefaultParagraphFont"/>
    <w:uiPriority w:val="99"/>
    <w:semiHidden/>
    <w:unhideWhenUsed/>
    <w:rsid w:val="008F4147"/>
    <w:rPr>
      <w:color w:val="800080" w:themeColor="followedHyperlink"/>
      <w:u w:val="single"/>
    </w:rPr>
  </w:style>
  <w:style w:type="paragraph" w:styleId="Revision">
    <w:name w:val="Revision"/>
    <w:hidden/>
    <w:uiPriority w:val="99"/>
    <w:semiHidden/>
    <w:rsid w:val="009E75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278972">
      <w:bodyDiv w:val="1"/>
      <w:marLeft w:val="0"/>
      <w:marRight w:val="0"/>
      <w:marTop w:val="0"/>
      <w:marBottom w:val="0"/>
      <w:divBdr>
        <w:top w:val="none" w:sz="0" w:space="0" w:color="auto"/>
        <w:left w:val="none" w:sz="0" w:space="0" w:color="auto"/>
        <w:bottom w:val="none" w:sz="0" w:space="0" w:color="auto"/>
        <w:right w:val="none" w:sz="0" w:space="0" w:color="auto"/>
      </w:divBdr>
    </w:div>
    <w:div w:id="1025712082">
      <w:bodyDiv w:val="1"/>
      <w:marLeft w:val="0"/>
      <w:marRight w:val="0"/>
      <w:marTop w:val="0"/>
      <w:marBottom w:val="0"/>
      <w:divBdr>
        <w:top w:val="none" w:sz="0" w:space="0" w:color="auto"/>
        <w:left w:val="none" w:sz="0" w:space="0" w:color="auto"/>
        <w:bottom w:val="none" w:sz="0" w:space="0" w:color="auto"/>
        <w:right w:val="none" w:sz="0" w:space="0" w:color="auto"/>
      </w:divBdr>
      <w:divsChild>
        <w:div w:id="40908105">
          <w:marLeft w:val="0"/>
          <w:marRight w:val="0"/>
          <w:marTop w:val="0"/>
          <w:marBottom w:val="0"/>
          <w:divBdr>
            <w:top w:val="none" w:sz="0" w:space="0" w:color="auto"/>
            <w:left w:val="none" w:sz="0" w:space="0" w:color="auto"/>
            <w:bottom w:val="none" w:sz="0" w:space="0" w:color="auto"/>
            <w:right w:val="none" w:sz="0" w:space="0" w:color="auto"/>
          </w:divBdr>
          <w:divsChild>
            <w:div w:id="1206480143">
              <w:marLeft w:val="0"/>
              <w:marRight w:val="0"/>
              <w:marTop w:val="0"/>
              <w:marBottom w:val="0"/>
              <w:divBdr>
                <w:top w:val="none" w:sz="0" w:space="0" w:color="auto"/>
                <w:left w:val="none" w:sz="0" w:space="0" w:color="auto"/>
                <w:bottom w:val="none" w:sz="0" w:space="0" w:color="auto"/>
                <w:right w:val="none" w:sz="0" w:space="0" w:color="auto"/>
              </w:divBdr>
              <w:divsChild>
                <w:div w:id="1498300559">
                  <w:marLeft w:val="0"/>
                  <w:marRight w:val="0"/>
                  <w:marTop w:val="0"/>
                  <w:marBottom w:val="0"/>
                  <w:divBdr>
                    <w:top w:val="single" w:sz="6" w:space="0" w:color="CCCCCC"/>
                    <w:left w:val="single" w:sz="6" w:space="0" w:color="CCCCCC"/>
                    <w:bottom w:val="single" w:sz="6" w:space="0" w:color="CCCCCC"/>
                    <w:right w:val="single" w:sz="6" w:space="0" w:color="CCCCCC"/>
                  </w:divBdr>
                  <w:divsChild>
                    <w:div w:id="1847747620">
                      <w:marLeft w:val="0"/>
                      <w:marRight w:val="0"/>
                      <w:marTop w:val="0"/>
                      <w:marBottom w:val="0"/>
                      <w:divBdr>
                        <w:top w:val="none" w:sz="0" w:space="0" w:color="auto"/>
                        <w:left w:val="none" w:sz="0" w:space="0" w:color="auto"/>
                        <w:bottom w:val="none" w:sz="0" w:space="0" w:color="auto"/>
                        <w:right w:val="none" w:sz="0" w:space="0" w:color="auto"/>
                      </w:divBdr>
                      <w:divsChild>
                        <w:div w:id="795299024">
                          <w:marLeft w:val="0"/>
                          <w:marRight w:val="0"/>
                          <w:marTop w:val="0"/>
                          <w:marBottom w:val="0"/>
                          <w:divBdr>
                            <w:top w:val="none" w:sz="0" w:space="0" w:color="auto"/>
                            <w:left w:val="none" w:sz="0" w:space="0" w:color="auto"/>
                            <w:bottom w:val="none" w:sz="0" w:space="0" w:color="auto"/>
                            <w:right w:val="none" w:sz="0" w:space="0" w:color="auto"/>
                          </w:divBdr>
                          <w:divsChild>
                            <w:div w:id="1526287143">
                              <w:marLeft w:val="0"/>
                              <w:marRight w:val="0"/>
                              <w:marTop w:val="0"/>
                              <w:marBottom w:val="0"/>
                              <w:divBdr>
                                <w:top w:val="none" w:sz="0" w:space="0" w:color="auto"/>
                                <w:left w:val="none" w:sz="0" w:space="0" w:color="auto"/>
                                <w:bottom w:val="none" w:sz="0" w:space="0" w:color="auto"/>
                                <w:right w:val="none" w:sz="0" w:space="0" w:color="auto"/>
                              </w:divBdr>
                              <w:divsChild>
                                <w:div w:id="196739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895859">
      <w:bodyDiv w:val="1"/>
      <w:marLeft w:val="0"/>
      <w:marRight w:val="0"/>
      <w:marTop w:val="0"/>
      <w:marBottom w:val="0"/>
      <w:divBdr>
        <w:top w:val="none" w:sz="0" w:space="0" w:color="auto"/>
        <w:left w:val="none" w:sz="0" w:space="0" w:color="auto"/>
        <w:bottom w:val="none" w:sz="0" w:space="0" w:color="auto"/>
        <w:right w:val="none" w:sz="0" w:space="0" w:color="auto"/>
      </w:divBdr>
      <w:divsChild>
        <w:div w:id="1572623001">
          <w:marLeft w:val="0"/>
          <w:marRight w:val="0"/>
          <w:marTop w:val="0"/>
          <w:marBottom w:val="0"/>
          <w:divBdr>
            <w:top w:val="none" w:sz="0" w:space="0" w:color="auto"/>
            <w:left w:val="none" w:sz="0" w:space="0" w:color="auto"/>
            <w:bottom w:val="none" w:sz="0" w:space="0" w:color="auto"/>
            <w:right w:val="none" w:sz="0" w:space="0" w:color="auto"/>
          </w:divBdr>
          <w:divsChild>
            <w:div w:id="393624396">
              <w:marLeft w:val="0"/>
              <w:marRight w:val="0"/>
              <w:marTop w:val="0"/>
              <w:marBottom w:val="0"/>
              <w:divBdr>
                <w:top w:val="none" w:sz="0" w:space="0" w:color="auto"/>
                <w:left w:val="none" w:sz="0" w:space="0" w:color="auto"/>
                <w:bottom w:val="none" w:sz="0" w:space="0" w:color="auto"/>
                <w:right w:val="none" w:sz="0" w:space="0" w:color="auto"/>
              </w:divBdr>
              <w:divsChild>
                <w:div w:id="1348483950">
                  <w:marLeft w:val="0"/>
                  <w:marRight w:val="0"/>
                  <w:marTop w:val="0"/>
                  <w:marBottom w:val="0"/>
                  <w:divBdr>
                    <w:top w:val="none" w:sz="0" w:space="0" w:color="auto"/>
                    <w:left w:val="none" w:sz="0" w:space="0" w:color="auto"/>
                    <w:bottom w:val="none" w:sz="0" w:space="0" w:color="auto"/>
                    <w:right w:val="none" w:sz="0" w:space="0" w:color="auto"/>
                  </w:divBdr>
                  <w:divsChild>
                    <w:div w:id="88478059">
                      <w:marLeft w:val="0"/>
                      <w:marRight w:val="0"/>
                      <w:marTop w:val="0"/>
                      <w:marBottom w:val="0"/>
                      <w:divBdr>
                        <w:top w:val="none" w:sz="0" w:space="0" w:color="auto"/>
                        <w:left w:val="none" w:sz="0" w:space="0" w:color="auto"/>
                        <w:bottom w:val="none" w:sz="0" w:space="0" w:color="auto"/>
                        <w:right w:val="none" w:sz="0" w:space="0" w:color="auto"/>
                      </w:divBdr>
                      <w:divsChild>
                        <w:div w:id="826627708">
                          <w:marLeft w:val="0"/>
                          <w:marRight w:val="0"/>
                          <w:marTop w:val="0"/>
                          <w:marBottom w:val="0"/>
                          <w:divBdr>
                            <w:top w:val="none" w:sz="0" w:space="0" w:color="auto"/>
                            <w:left w:val="none" w:sz="0" w:space="0" w:color="auto"/>
                            <w:bottom w:val="none" w:sz="0" w:space="0" w:color="auto"/>
                            <w:right w:val="none" w:sz="0" w:space="0" w:color="auto"/>
                          </w:divBdr>
                          <w:divsChild>
                            <w:div w:id="2141604583">
                              <w:marLeft w:val="0"/>
                              <w:marRight w:val="0"/>
                              <w:marTop w:val="0"/>
                              <w:marBottom w:val="360"/>
                              <w:divBdr>
                                <w:top w:val="none" w:sz="0" w:space="0" w:color="auto"/>
                                <w:left w:val="none" w:sz="0" w:space="0" w:color="auto"/>
                                <w:bottom w:val="none" w:sz="0" w:space="0" w:color="auto"/>
                                <w:right w:val="none" w:sz="0" w:space="0" w:color="auto"/>
                              </w:divBdr>
                              <w:divsChild>
                                <w:div w:id="1621064999">
                                  <w:marLeft w:val="0"/>
                                  <w:marRight w:val="0"/>
                                  <w:marTop w:val="0"/>
                                  <w:marBottom w:val="0"/>
                                  <w:divBdr>
                                    <w:top w:val="none" w:sz="0" w:space="0" w:color="auto"/>
                                    <w:left w:val="none" w:sz="0" w:space="0" w:color="auto"/>
                                    <w:bottom w:val="none" w:sz="0" w:space="0" w:color="auto"/>
                                    <w:right w:val="none" w:sz="0" w:space="0" w:color="auto"/>
                                  </w:divBdr>
                                  <w:divsChild>
                                    <w:div w:id="242296757">
                                      <w:marLeft w:val="0"/>
                                      <w:marRight w:val="0"/>
                                      <w:marTop w:val="0"/>
                                      <w:marBottom w:val="0"/>
                                      <w:divBdr>
                                        <w:top w:val="none" w:sz="0" w:space="0" w:color="auto"/>
                                        <w:left w:val="none" w:sz="0" w:space="0" w:color="auto"/>
                                        <w:bottom w:val="none" w:sz="0" w:space="0" w:color="auto"/>
                                        <w:right w:val="none" w:sz="0" w:space="0" w:color="auto"/>
                                      </w:divBdr>
                                      <w:divsChild>
                                        <w:div w:id="654843609">
                                          <w:marLeft w:val="0"/>
                                          <w:marRight w:val="0"/>
                                          <w:marTop w:val="0"/>
                                          <w:marBottom w:val="0"/>
                                          <w:divBdr>
                                            <w:top w:val="none" w:sz="0" w:space="0" w:color="auto"/>
                                            <w:left w:val="none" w:sz="0" w:space="0" w:color="auto"/>
                                            <w:bottom w:val="none" w:sz="0" w:space="0" w:color="auto"/>
                                            <w:right w:val="none" w:sz="0" w:space="0" w:color="auto"/>
                                          </w:divBdr>
                                          <w:divsChild>
                                            <w:div w:id="716854956">
                                              <w:marLeft w:val="0"/>
                                              <w:marRight w:val="0"/>
                                              <w:marTop w:val="0"/>
                                              <w:marBottom w:val="0"/>
                                              <w:divBdr>
                                                <w:top w:val="none" w:sz="0" w:space="0" w:color="auto"/>
                                                <w:left w:val="none" w:sz="0" w:space="0" w:color="auto"/>
                                                <w:bottom w:val="none" w:sz="0" w:space="0" w:color="auto"/>
                                                <w:right w:val="none" w:sz="0" w:space="0" w:color="auto"/>
                                              </w:divBdr>
                                              <w:divsChild>
                                                <w:div w:id="1318074550">
                                                  <w:marLeft w:val="0"/>
                                                  <w:marRight w:val="0"/>
                                                  <w:marTop w:val="0"/>
                                                  <w:marBottom w:val="0"/>
                                                  <w:divBdr>
                                                    <w:top w:val="none" w:sz="0" w:space="0" w:color="auto"/>
                                                    <w:left w:val="none" w:sz="0" w:space="0" w:color="auto"/>
                                                    <w:bottom w:val="none" w:sz="0" w:space="0" w:color="auto"/>
                                                    <w:right w:val="none" w:sz="0" w:space="0" w:color="auto"/>
                                                  </w:divBdr>
                                                  <w:divsChild>
                                                    <w:div w:id="11468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314042">
      <w:bodyDiv w:val="1"/>
      <w:marLeft w:val="0"/>
      <w:marRight w:val="0"/>
      <w:marTop w:val="0"/>
      <w:marBottom w:val="0"/>
      <w:divBdr>
        <w:top w:val="none" w:sz="0" w:space="0" w:color="auto"/>
        <w:left w:val="none" w:sz="0" w:space="0" w:color="auto"/>
        <w:bottom w:val="none" w:sz="0" w:space="0" w:color="auto"/>
        <w:right w:val="none" w:sz="0" w:space="0" w:color="auto"/>
      </w:divBdr>
    </w:div>
    <w:div w:id="1890259694">
      <w:bodyDiv w:val="1"/>
      <w:marLeft w:val="0"/>
      <w:marRight w:val="0"/>
      <w:marTop w:val="0"/>
      <w:marBottom w:val="0"/>
      <w:divBdr>
        <w:top w:val="none" w:sz="0" w:space="0" w:color="auto"/>
        <w:left w:val="none" w:sz="0" w:space="0" w:color="auto"/>
        <w:bottom w:val="none" w:sz="0" w:space="0" w:color="auto"/>
        <w:right w:val="none" w:sz="0" w:space="0" w:color="auto"/>
      </w:divBdr>
      <w:divsChild>
        <w:div w:id="119305894">
          <w:marLeft w:val="0"/>
          <w:marRight w:val="0"/>
          <w:marTop w:val="0"/>
          <w:marBottom w:val="0"/>
          <w:divBdr>
            <w:top w:val="none" w:sz="0" w:space="0" w:color="auto"/>
            <w:left w:val="none" w:sz="0" w:space="0" w:color="auto"/>
            <w:bottom w:val="none" w:sz="0" w:space="0" w:color="auto"/>
            <w:right w:val="none" w:sz="0" w:space="0" w:color="auto"/>
          </w:divBdr>
          <w:divsChild>
            <w:div w:id="1468468959">
              <w:marLeft w:val="0"/>
              <w:marRight w:val="0"/>
              <w:marTop w:val="0"/>
              <w:marBottom w:val="0"/>
              <w:divBdr>
                <w:top w:val="none" w:sz="0" w:space="0" w:color="auto"/>
                <w:left w:val="none" w:sz="0" w:space="0" w:color="auto"/>
                <w:bottom w:val="none" w:sz="0" w:space="0" w:color="auto"/>
                <w:right w:val="none" w:sz="0" w:space="0" w:color="auto"/>
              </w:divBdr>
              <w:divsChild>
                <w:div w:id="1856730786">
                  <w:marLeft w:val="0"/>
                  <w:marRight w:val="0"/>
                  <w:marTop w:val="0"/>
                  <w:marBottom w:val="0"/>
                  <w:divBdr>
                    <w:top w:val="single" w:sz="6" w:space="0" w:color="CCCCCC"/>
                    <w:left w:val="single" w:sz="6" w:space="0" w:color="CCCCCC"/>
                    <w:bottom w:val="single" w:sz="6" w:space="0" w:color="CCCCCC"/>
                    <w:right w:val="single" w:sz="6" w:space="0" w:color="CCCCCC"/>
                  </w:divBdr>
                  <w:divsChild>
                    <w:div w:id="187260497">
                      <w:marLeft w:val="0"/>
                      <w:marRight w:val="0"/>
                      <w:marTop w:val="0"/>
                      <w:marBottom w:val="0"/>
                      <w:divBdr>
                        <w:top w:val="none" w:sz="0" w:space="0" w:color="auto"/>
                        <w:left w:val="none" w:sz="0" w:space="0" w:color="auto"/>
                        <w:bottom w:val="none" w:sz="0" w:space="0" w:color="auto"/>
                        <w:right w:val="none" w:sz="0" w:space="0" w:color="auto"/>
                      </w:divBdr>
                      <w:divsChild>
                        <w:div w:id="164708233">
                          <w:marLeft w:val="0"/>
                          <w:marRight w:val="0"/>
                          <w:marTop w:val="0"/>
                          <w:marBottom w:val="0"/>
                          <w:divBdr>
                            <w:top w:val="none" w:sz="0" w:space="0" w:color="auto"/>
                            <w:left w:val="none" w:sz="0" w:space="0" w:color="auto"/>
                            <w:bottom w:val="none" w:sz="0" w:space="0" w:color="auto"/>
                            <w:right w:val="none" w:sz="0" w:space="0" w:color="auto"/>
                          </w:divBdr>
                          <w:divsChild>
                            <w:div w:id="277496590">
                              <w:marLeft w:val="0"/>
                              <w:marRight w:val="0"/>
                              <w:marTop w:val="0"/>
                              <w:marBottom w:val="0"/>
                              <w:divBdr>
                                <w:top w:val="none" w:sz="0" w:space="0" w:color="auto"/>
                                <w:left w:val="none" w:sz="0" w:space="0" w:color="auto"/>
                                <w:bottom w:val="none" w:sz="0" w:space="0" w:color="auto"/>
                                <w:right w:val="none" w:sz="0" w:space="0" w:color="auto"/>
                              </w:divBdr>
                              <w:divsChild>
                                <w:div w:id="4712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427221">
      <w:bodyDiv w:val="1"/>
      <w:marLeft w:val="0"/>
      <w:marRight w:val="0"/>
      <w:marTop w:val="0"/>
      <w:marBottom w:val="0"/>
      <w:divBdr>
        <w:top w:val="none" w:sz="0" w:space="0" w:color="auto"/>
        <w:left w:val="none" w:sz="0" w:space="0" w:color="auto"/>
        <w:bottom w:val="none" w:sz="0" w:space="0" w:color="auto"/>
        <w:right w:val="none" w:sz="0" w:space="0" w:color="auto"/>
      </w:divBdr>
      <w:divsChild>
        <w:div w:id="932013166">
          <w:marLeft w:val="0"/>
          <w:marRight w:val="0"/>
          <w:marTop w:val="0"/>
          <w:marBottom w:val="0"/>
          <w:divBdr>
            <w:top w:val="none" w:sz="0" w:space="0" w:color="auto"/>
            <w:left w:val="none" w:sz="0" w:space="0" w:color="auto"/>
            <w:bottom w:val="none" w:sz="0" w:space="0" w:color="auto"/>
            <w:right w:val="none" w:sz="0" w:space="0" w:color="auto"/>
          </w:divBdr>
          <w:divsChild>
            <w:div w:id="1213076102">
              <w:marLeft w:val="0"/>
              <w:marRight w:val="0"/>
              <w:marTop w:val="0"/>
              <w:marBottom w:val="0"/>
              <w:divBdr>
                <w:top w:val="none" w:sz="0" w:space="0" w:color="auto"/>
                <w:left w:val="none" w:sz="0" w:space="0" w:color="auto"/>
                <w:bottom w:val="none" w:sz="0" w:space="0" w:color="auto"/>
                <w:right w:val="none" w:sz="0" w:space="0" w:color="auto"/>
              </w:divBdr>
              <w:divsChild>
                <w:div w:id="1232689504">
                  <w:marLeft w:val="0"/>
                  <w:marRight w:val="0"/>
                  <w:marTop w:val="0"/>
                  <w:marBottom w:val="0"/>
                  <w:divBdr>
                    <w:top w:val="single" w:sz="6" w:space="0" w:color="CCCCCC"/>
                    <w:left w:val="single" w:sz="6" w:space="0" w:color="CCCCCC"/>
                    <w:bottom w:val="single" w:sz="6" w:space="0" w:color="CCCCCC"/>
                    <w:right w:val="single" w:sz="6" w:space="0" w:color="CCCCCC"/>
                  </w:divBdr>
                  <w:divsChild>
                    <w:div w:id="1088382344">
                      <w:marLeft w:val="0"/>
                      <w:marRight w:val="0"/>
                      <w:marTop w:val="0"/>
                      <w:marBottom w:val="0"/>
                      <w:divBdr>
                        <w:top w:val="none" w:sz="0" w:space="0" w:color="auto"/>
                        <w:left w:val="none" w:sz="0" w:space="0" w:color="auto"/>
                        <w:bottom w:val="none" w:sz="0" w:space="0" w:color="auto"/>
                        <w:right w:val="none" w:sz="0" w:space="0" w:color="auto"/>
                      </w:divBdr>
                      <w:divsChild>
                        <w:div w:id="1307590779">
                          <w:marLeft w:val="0"/>
                          <w:marRight w:val="0"/>
                          <w:marTop w:val="0"/>
                          <w:marBottom w:val="0"/>
                          <w:divBdr>
                            <w:top w:val="none" w:sz="0" w:space="0" w:color="auto"/>
                            <w:left w:val="none" w:sz="0" w:space="0" w:color="auto"/>
                            <w:bottom w:val="none" w:sz="0" w:space="0" w:color="auto"/>
                            <w:right w:val="none" w:sz="0" w:space="0" w:color="auto"/>
                          </w:divBdr>
                          <w:divsChild>
                            <w:div w:id="2139107360">
                              <w:marLeft w:val="0"/>
                              <w:marRight w:val="0"/>
                              <w:marTop w:val="0"/>
                              <w:marBottom w:val="0"/>
                              <w:divBdr>
                                <w:top w:val="none" w:sz="0" w:space="0" w:color="auto"/>
                                <w:left w:val="none" w:sz="0" w:space="0" w:color="auto"/>
                                <w:bottom w:val="none" w:sz="0" w:space="0" w:color="auto"/>
                                <w:right w:val="none" w:sz="0" w:space="0" w:color="auto"/>
                              </w:divBdr>
                              <w:divsChild>
                                <w:div w:id="15068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rna.org/"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cid:ii_kv8c904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C6DAC-62E2-4F92-B6C9-000BE2E74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18</Pages>
  <Words>6836</Words>
  <Characters>38968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45713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Mundt, James C</dc:creator>
  <cp:lastModifiedBy>Karl Hanson</cp:lastModifiedBy>
  <cp:revision>16</cp:revision>
  <cp:lastPrinted>2024-05-31T00:03:00Z</cp:lastPrinted>
  <dcterms:created xsi:type="dcterms:W3CDTF">2024-03-01T13:45:00Z</dcterms:created>
  <dcterms:modified xsi:type="dcterms:W3CDTF">2024-05-31T00:05:00Z</dcterms:modified>
</cp:coreProperties>
</file>